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C24335C" w14:textId="38844727" w:rsidR="00631581" w:rsidRPr="00DB3EA1" w:rsidRDefault="00631581" w:rsidP="00631581">
      <w:pPr>
        <w:tabs>
          <w:tab w:val="left" w:pos="6521"/>
        </w:tabs>
        <w:rPr>
          <w:rFonts w:ascii="Arial" w:hAnsi="Arial"/>
          <w:i/>
          <w:sz w:val="24"/>
          <w:szCs w:val="24"/>
        </w:rPr>
      </w:pPr>
      <w:bookmarkStart w:id="0" w:name="OLE_LINK1"/>
      <w:r w:rsidRPr="00DB3EA1">
        <w:rPr>
          <w:rFonts w:ascii="Arial" w:hAnsi="Arial" w:cs="Arial"/>
          <w:b/>
          <w:bCs/>
          <w:sz w:val="24"/>
          <w:szCs w:val="24"/>
        </w:rPr>
        <w:t>3GPP TSG RAN WG1 #10</w:t>
      </w:r>
      <w:r>
        <w:rPr>
          <w:rFonts w:ascii="Arial" w:hAnsi="Arial" w:cs="Arial"/>
          <w:b/>
          <w:bCs/>
          <w:sz w:val="24"/>
          <w:szCs w:val="24"/>
        </w:rPr>
        <w:t>6bis-e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Pr="00DB3EA1">
        <w:rPr>
          <w:rFonts w:ascii="Arial" w:hAnsi="Arial"/>
          <w:b/>
          <w:sz w:val="24"/>
          <w:szCs w:val="24"/>
        </w:rPr>
        <w:t>R1-210</w:t>
      </w:r>
      <w:r w:rsidR="007F028D">
        <w:rPr>
          <w:rFonts w:ascii="Arial" w:eastAsia="Malgun Gothic" w:hAnsi="Arial"/>
          <w:b/>
          <w:sz w:val="24"/>
          <w:szCs w:val="24"/>
        </w:rPr>
        <w:t>9488</w:t>
      </w:r>
      <w:bookmarkStart w:id="1" w:name="_GoBack"/>
      <w:bookmarkEnd w:id="1"/>
    </w:p>
    <w:p w14:paraId="723797EF" w14:textId="27BB7F43" w:rsidR="007A57E2" w:rsidRPr="006259B8" w:rsidRDefault="00631581" w:rsidP="00631581">
      <w:pPr>
        <w:pStyle w:val="Header"/>
        <w:suppressAutoHyphens/>
        <w:spacing w:after="240"/>
        <w:rPr>
          <w:rFonts w:eastAsia="Malgun Gothic"/>
          <w:noProof w:val="0"/>
          <w:color w:val="000000"/>
          <w:sz w:val="24"/>
          <w:szCs w:val="24"/>
          <w:lang w:val="en-US" w:eastAsia="ko-KR"/>
        </w:rPr>
      </w:pPr>
      <w:r w:rsidRPr="00DB3EA1">
        <w:rPr>
          <w:rFonts w:cs="Arial"/>
          <w:noProof w:val="0"/>
          <w:sz w:val="24"/>
          <w:szCs w:val="24"/>
          <w:lang w:val="en-US" w:eastAsia="ja-JP"/>
        </w:rPr>
        <w:t>e-Meeting</w:t>
      </w:r>
      <w:r w:rsidRPr="00DB3EA1">
        <w:rPr>
          <w:rFonts w:cs="Arial"/>
          <w:noProof w:val="0"/>
          <w:sz w:val="24"/>
          <w:szCs w:val="24"/>
          <w:lang w:val="en-US"/>
        </w:rPr>
        <w:t xml:space="preserve">, </w:t>
      </w:r>
      <w:r>
        <w:rPr>
          <w:rFonts w:cs="Arial"/>
          <w:noProof w:val="0"/>
          <w:sz w:val="24"/>
          <w:szCs w:val="24"/>
          <w:lang w:val="en-US"/>
        </w:rPr>
        <w:t>October</w:t>
      </w:r>
      <w:r w:rsidRPr="00DB3EA1">
        <w:rPr>
          <w:rFonts w:cs="Arial"/>
          <w:noProof w:val="0"/>
          <w:sz w:val="24"/>
          <w:szCs w:val="24"/>
          <w:lang w:val="en-US"/>
        </w:rPr>
        <w:t xml:space="preserve"> </w:t>
      </w:r>
      <w:r>
        <w:rPr>
          <w:rFonts w:cs="Arial"/>
          <w:noProof w:val="0"/>
          <w:sz w:val="24"/>
          <w:szCs w:val="24"/>
          <w:lang w:val="en-US"/>
        </w:rPr>
        <w:t>11</w:t>
      </w:r>
      <w:r w:rsidRPr="00DB3EA1">
        <w:rPr>
          <w:rFonts w:cs="Arial"/>
          <w:noProof w:val="0"/>
          <w:sz w:val="24"/>
          <w:szCs w:val="24"/>
          <w:vertAlign w:val="superscript"/>
          <w:lang w:val="en-US"/>
        </w:rPr>
        <w:t>th</w:t>
      </w:r>
      <w:r w:rsidRPr="00DB3EA1">
        <w:rPr>
          <w:rFonts w:eastAsia="Arial Unicode MS" w:cs="Arial"/>
          <w:noProof w:val="0"/>
          <w:sz w:val="24"/>
          <w:szCs w:val="24"/>
          <w:lang w:val="en-US" w:eastAsia="ko-KR"/>
        </w:rPr>
        <w:t xml:space="preserve"> </w:t>
      </w:r>
      <w:r w:rsidRPr="00DB3EA1">
        <w:rPr>
          <w:rFonts w:cs="Arial"/>
          <w:noProof w:val="0"/>
          <w:sz w:val="24"/>
          <w:szCs w:val="24"/>
          <w:lang w:val="en-US"/>
        </w:rPr>
        <w:t xml:space="preserve">– </w:t>
      </w:r>
      <w:r>
        <w:rPr>
          <w:rFonts w:cs="Arial"/>
          <w:noProof w:val="0"/>
          <w:sz w:val="24"/>
          <w:szCs w:val="24"/>
          <w:lang w:val="en-US"/>
        </w:rPr>
        <w:t>19</w:t>
      </w:r>
      <w:r w:rsidRPr="00DB3EA1">
        <w:rPr>
          <w:rFonts w:cs="Arial"/>
          <w:noProof w:val="0"/>
          <w:sz w:val="24"/>
          <w:szCs w:val="24"/>
          <w:vertAlign w:val="superscript"/>
          <w:lang w:val="en-US"/>
        </w:rPr>
        <w:t>th</w:t>
      </w:r>
      <w:r w:rsidRPr="00DB3EA1">
        <w:rPr>
          <w:rFonts w:cs="Arial"/>
          <w:noProof w:val="0"/>
          <w:sz w:val="24"/>
          <w:szCs w:val="24"/>
          <w:lang w:val="en-US"/>
        </w:rPr>
        <w:t xml:space="preserve">, </w:t>
      </w:r>
      <w:r w:rsidR="005802B8" w:rsidRPr="00DB3EA1">
        <w:rPr>
          <w:rFonts w:cs="Arial"/>
          <w:bCs/>
          <w:noProof w:val="0"/>
          <w:sz w:val="24"/>
          <w:szCs w:val="24"/>
          <w:lang w:val="en-US"/>
        </w:rPr>
        <w:t>2021</w:t>
      </w:r>
    </w:p>
    <w:p w14:paraId="59CC9F23" w14:textId="05F76051" w:rsidR="005104E8" w:rsidRPr="006259B8" w:rsidRDefault="005104E8" w:rsidP="000C7771">
      <w:pPr>
        <w:tabs>
          <w:tab w:val="left" w:pos="1985"/>
        </w:tabs>
        <w:suppressAutoHyphens/>
        <w:wordWrap/>
        <w:spacing w:after="120"/>
        <w:rPr>
          <w:rFonts w:ascii="Arial" w:eastAsia="Malgun Gothic" w:hAnsi="Arial"/>
          <w:color w:val="000000"/>
          <w:sz w:val="24"/>
          <w:szCs w:val="24"/>
        </w:rPr>
      </w:pPr>
      <w:r w:rsidRPr="006259B8">
        <w:rPr>
          <w:rFonts w:ascii="Arial" w:hAnsi="Arial"/>
          <w:b/>
          <w:color w:val="000000"/>
          <w:sz w:val="24"/>
          <w:szCs w:val="24"/>
        </w:rPr>
        <w:t>Agenda item:</w:t>
      </w:r>
      <w:r w:rsidRPr="006259B8">
        <w:rPr>
          <w:rFonts w:ascii="Arial" w:hAnsi="Arial"/>
          <w:color w:val="000000"/>
          <w:sz w:val="24"/>
          <w:szCs w:val="24"/>
        </w:rPr>
        <w:tab/>
      </w:r>
      <w:bookmarkStart w:id="2" w:name="Source"/>
      <w:bookmarkEnd w:id="2"/>
      <w:r w:rsidR="009473E6" w:rsidRPr="006259B8">
        <w:rPr>
          <w:rFonts w:ascii="Arial" w:hAnsi="Arial"/>
          <w:color w:val="000000"/>
          <w:sz w:val="24"/>
          <w:szCs w:val="24"/>
        </w:rPr>
        <w:t>8.4.</w:t>
      </w:r>
      <w:r w:rsidR="00056AB9" w:rsidRPr="006259B8">
        <w:rPr>
          <w:rFonts w:ascii="Arial" w:hAnsi="Arial"/>
          <w:color w:val="000000"/>
          <w:sz w:val="24"/>
          <w:szCs w:val="24"/>
        </w:rPr>
        <w:t>3</w:t>
      </w:r>
    </w:p>
    <w:p w14:paraId="1A01F089" w14:textId="49D5D66D" w:rsidR="00B722E2" w:rsidRPr="006259B8" w:rsidRDefault="00B722E2" w:rsidP="000C7771">
      <w:pPr>
        <w:tabs>
          <w:tab w:val="left" w:pos="1985"/>
        </w:tabs>
        <w:suppressAutoHyphens/>
        <w:wordWrap/>
        <w:spacing w:after="120"/>
        <w:rPr>
          <w:rFonts w:ascii="Arial" w:hAnsi="Arial"/>
          <w:color w:val="000000"/>
          <w:sz w:val="24"/>
        </w:rPr>
      </w:pPr>
      <w:r w:rsidRPr="006259B8">
        <w:rPr>
          <w:rFonts w:ascii="Arial" w:hAnsi="Arial"/>
          <w:b/>
          <w:color w:val="000000"/>
          <w:sz w:val="24"/>
        </w:rPr>
        <w:t xml:space="preserve">Source: </w:t>
      </w:r>
      <w:r w:rsidRPr="006259B8">
        <w:rPr>
          <w:rFonts w:ascii="Arial" w:hAnsi="Arial"/>
          <w:b/>
          <w:color w:val="000000"/>
          <w:sz w:val="24"/>
        </w:rPr>
        <w:tab/>
      </w:r>
      <w:r w:rsidR="00916D2A" w:rsidRPr="006259B8">
        <w:rPr>
          <w:rFonts w:ascii="Arial" w:hAnsi="Arial"/>
          <w:color w:val="000000"/>
          <w:sz w:val="24"/>
        </w:rPr>
        <w:t>Samsung</w:t>
      </w:r>
    </w:p>
    <w:bookmarkEnd w:id="0"/>
    <w:p w14:paraId="5775840C" w14:textId="6938BA29" w:rsidR="00B722E2" w:rsidRPr="006259B8" w:rsidRDefault="00B722E2" w:rsidP="000C7771">
      <w:pPr>
        <w:tabs>
          <w:tab w:val="left" w:pos="1985"/>
        </w:tabs>
        <w:suppressAutoHyphens/>
        <w:wordWrap/>
        <w:spacing w:after="120"/>
        <w:rPr>
          <w:rFonts w:ascii="Arial" w:eastAsia="Malgun Gothic" w:hAnsi="Arial"/>
          <w:b/>
          <w:color w:val="000000"/>
          <w:sz w:val="24"/>
        </w:rPr>
      </w:pPr>
      <w:r w:rsidRPr="006259B8">
        <w:rPr>
          <w:rFonts w:ascii="Arial" w:hAnsi="Arial"/>
          <w:b/>
          <w:color w:val="000000"/>
          <w:sz w:val="24"/>
        </w:rPr>
        <w:t xml:space="preserve">Title: </w:t>
      </w:r>
      <w:r w:rsidRPr="006259B8">
        <w:rPr>
          <w:rFonts w:ascii="Arial" w:hAnsi="Arial"/>
          <w:b/>
          <w:color w:val="000000"/>
          <w:sz w:val="24"/>
        </w:rPr>
        <w:tab/>
      </w:r>
      <w:r w:rsidR="00056AB9" w:rsidRPr="006259B8">
        <w:rPr>
          <w:rFonts w:ascii="Arial" w:eastAsia="Malgun Gothic" w:hAnsi="Arial"/>
          <w:color w:val="000000"/>
          <w:sz w:val="24"/>
        </w:rPr>
        <w:t>HARQ</w:t>
      </w:r>
      <w:r w:rsidR="002904A0" w:rsidRPr="006259B8">
        <w:rPr>
          <w:rFonts w:ascii="Arial" w:eastAsia="Malgun Gothic" w:hAnsi="Arial"/>
          <w:color w:val="000000"/>
          <w:sz w:val="24"/>
        </w:rPr>
        <w:t xml:space="preserve"> </w:t>
      </w:r>
      <w:r w:rsidR="000A2DAE">
        <w:rPr>
          <w:rFonts w:ascii="Arial" w:eastAsia="Malgun Gothic" w:hAnsi="Arial"/>
          <w:color w:val="000000"/>
          <w:sz w:val="24"/>
        </w:rPr>
        <w:t xml:space="preserve">Aspects </w:t>
      </w:r>
      <w:r w:rsidR="002904A0" w:rsidRPr="006259B8">
        <w:rPr>
          <w:rFonts w:ascii="Arial" w:eastAsia="Malgun Gothic" w:hAnsi="Arial"/>
          <w:color w:val="000000"/>
          <w:sz w:val="24"/>
        </w:rPr>
        <w:t>for NTN</w:t>
      </w:r>
    </w:p>
    <w:p w14:paraId="525796C0" w14:textId="2D3EC747" w:rsidR="00843C05" w:rsidRPr="006259B8" w:rsidRDefault="00162A07" w:rsidP="000C7771">
      <w:pPr>
        <w:pBdr>
          <w:bottom w:val="single" w:sz="12" w:space="1" w:color="auto"/>
        </w:pBdr>
        <w:tabs>
          <w:tab w:val="left" w:pos="1985"/>
        </w:tabs>
        <w:suppressAutoHyphens/>
        <w:wordWrap/>
        <w:spacing w:after="120"/>
        <w:rPr>
          <w:rFonts w:ascii="Arial" w:eastAsia="Batang" w:hAnsi="Arial"/>
          <w:color w:val="000000"/>
          <w:sz w:val="24"/>
        </w:rPr>
      </w:pPr>
      <w:r w:rsidRPr="006259B8">
        <w:rPr>
          <w:rFonts w:ascii="Arial" w:hAnsi="Arial"/>
          <w:b/>
          <w:color w:val="000000"/>
          <w:sz w:val="24"/>
        </w:rPr>
        <w:t>Document for:</w:t>
      </w:r>
      <w:r w:rsidRPr="006259B8">
        <w:rPr>
          <w:rFonts w:ascii="Arial" w:hAnsi="Arial"/>
          <w:color w:val="000000"/>
          <w:sz w:val="24"/>
        </w:rPr>
        <w:tab/>
      </w:r>
      <w:bookmarkStart w:id="3" w:name="DocumentFor"/>
      <w:bookmarkEnd w:id="3"/>
      <w:r w:rsidR="003E64A0" w:rsidRPr="006259B8">
        <w:rPr>
          <w:rFonts w:ascii="Arial" w:eastAsia="Batang" w:hAnsi="Arial"/>
          <w:color w:val="000000"/>
          <w:sz w:val="24"/>
        </w:rPr>
        <w:t>Discussion</w:t>
      </w:r>
      <w:r w:rsidR="00635456" w:rsidRPr="006259B8">
        <w:rPr>
          <w:rFonts w:ascii="Arial" w:eastAsia="Batang" w:hAnsi="Arial"/>
          <w:color w:val="000000"/>
          <w:sz w:val="24"/>
        </w:rPr>
        <w:t xml:space="preserve"> and </w:t>
      </w:r>
      <w:r w:rsidR="009E4506" w:rsidRPr="006259B8">
        <w:rPr>
          <w:rFonts w:ascii="Arial" w:eastAsia="Batang" w:hAnsi="Arial"/>
          <w:color w:val="000000"/>
          <w:sz w:val="24"/>
        </w:rPr>
        <w:t>D</w:t>
      </w:r>
      <w:r w:rsidR="00635456" w:rsidRPr="006259B8">
        <w:rPr>
          <w:rFonts w:ascii="Arial" w:eastAsia="Batang" w:hAnsi="Arial"/>
          <w:color w:val="000000"/>
          <w:sz w:val="24"/>
        </w:rPr>
        <w:t>ecision</w:t>
      </w:r>
    </w:p>
    <w:p w14:paraId="053F2E27" w14:textId="77777777" w:rsidR="00162A07" w:rsidRPr="006259B8" w:rsidRDefault="00162A07" w:rsidP="001276A9">
      <w:pPr>
        <w:pStyle w:val="Heading1"/>
        <w:keepNext w:val="0"/>
        <w:keepLines w:val="0"/>
        <w:widowControl w:val="0"/>
        <w:suppressAutoHyphens/>
        <w:spacing w:before="360" w:after="120"/>
        <w:rPr>
          <w:rFonts w:eastAsia="Malgun Gothic"/>
          <w:color w:val="000000"/>
          <w:lang w:val="en-US" w:eastAsia="ko-KR"/>
        </w:rPr>
      </w:pPr>
      <w:r w:rsidRPr="006259B8">
        <w:rPr>
          <w:rFonts w:eastAsia="Malgun Gothic"/>
          <w:color w:val="000000"/>
          <w:lang w:val="en-US" w:eastAsia="ko-KR"/>
        </w:rPr>
        <w:t>Introduction</w:t>
      </w:r>
    </w:p>
    <w:p w14:paraId="5F0E1C69" w14:textId="08F2CD0A" w:rsidR="000C7771" w:rsidRPr="001276A9" w:rsidRDefault="000C7771" w:rsidP="006A7769">
      <w:pPr>
        <w:suppressAutoHyphens/>
        <w:wordWrap/>
        <w:jc w:val="both"/>
      </w:pPr>
      <w:r w:rsidRPr="001276A9">
        <w:t xml:space="preserve">This contribution considers </w:t>
      </w:r>
      <w:r w:rsidR="00C05506">
        <w:t xml:space="preserve">remaining </w:t>
      </w:r>
      <w:r w:rsidRPr="001276A9">
        <w:t xml:space="preserve">HARQ </w:t>
      </w:r>
      <w:r w:rsidR="000A2DAE">
        <w:t xml:space="preserve">aspects </w:t>
      </w:r>
      <w:r w:rsidRPr="001276A9">
        <w:t xml:space="preserve">for NTN. </w:t>
      </w:r>
    </w:p>
    <w:p w14:paraId="43BCFD33" w14:textId="77777777" w:rsidR="006A7769" w:rsidRPr="001276A9" w:rsidRDefault="006A7769" w:rsidP="006A7769">
      <w:pPr>
        <w:suppressAutoHyphens/>
        <w:wordWrap/>
        <w:jc w:val="both"/>
        <w:rPr>
          <w:rFonts w:eastAsia="Malgun Gothic"/>
          <w:color w:val="000000"/>
        </w:rPr>
      </w:pPr>
    </w:p>
    <w:p w14:paraId="75B27B37" w14:textId="02D5FE2F" w:rsidR="00545384" w:rsidRPr="006259B8" w:rsidRDefault="00335869" w:rsidP="006A7769">
      <w:pPr>
        <w:pStyle w:val="Heading1"/>
        <w:keepNext w:val="0"/>
        <w:keepLines w:val="0"/>
        <w:widowControl w:val="0"/>
        <w:suppressAutoHyphens/>
        <w:spacing w:before="0" w:after="120"/>
        <w:rPr>
          <w:lang w:val="en-US"/>
        </w:rPr>
      </w:pPr>
      <w:r w:rsidRPr="006259B8">
        <w:rPr>
          <w:lang w:val="en-US"/>
        </w:rPr>
        <w:t>HARQ</w:t>
      </w:r>
      <w:r w:rsidR="00090C28" w:rsidRPr="006259B8">
        <w:rPr>
          <w:lang w:val="en-US"/>
        </w:rPr>
        <w:t xml:space="preserve">-ACK </w:t>
      </w:r>
      <w:r w:rsidR="000A2DAE">
        <w:rPr>
          <w:lang w:val="en-US"/>
        </w:rPr>
        <w:t>Reporting</w:t>
      </w:r>
    </w:p>
    <w:p w14:paraId="5B0AF48A" w14:textId="01DE98DB" w:rsidR="00D97501" w:rsidRDefault="00D97501" w:rsidP="006A7769">
      <w:pPr>
        <w:suppressAutoHyphens/>
        <w:wordWrap/>
        <w:jc w:val="both"/>
        <w:rPr>
          <w:rFonts w:eastAsia="Malgun Gothic"/>
        </w:rPr>
      </w:pPr>
      <w:r>
        <w:rPr>
          <w:rFonts w:eastAsia="Malgun Gothic"/>
        </w:rPr>
        <w:t xml:space="preserve">Several reasons have been mentioned for having HARQs with disabled HARQ-ACK reports. </w:t>
      </w:r>
      <w:r w:rsidR="00370475">
        <w:rPr>
          <w:rFonts w:eastAsia="Malgun Gothic"/>
        </w:rPr>
        <w:t xml:space="preserve">Latency of HARQ-ACK reports due to the large propagation delay is </w:t>
      </w:r>
      <w:r>
        <w:rPr>
          <w:rFonts w:eastAsia="Malgun Gothic"/>
        </w:rPr>
        <w:t>a frequent one</w:t>
      </w:r>
      <w:r w:rsidR="00370475">
        <w:rPr>
          <w:rFonts w:eastAsia="Malgun Gothic"/>
        </w:rPr>
        <w:t xml:space="preserve"> but a UE only cares about out-of-order </w:t>
      </w:r>
      <w:r>
        <w:rPr>
          <w:rFonts w:eastAsia="Malgun Gothic"/>
        </w:rPr>
        <w:t xml:space="preserve">scheduling </w:t>
      </w:r>
      <w:r w:rsidR="00370475">
        <w:rPr>
          <w:rFonts w:eastAsia="Malgun Gothic"/>
        </w:rPr>
        <w:t>events and does not care how long it takes for a PUCCH to reach the NTN.</w:t>
      </w:r>
      <w:r>
        <w:rPr>
          <w:rFonts w:eastAsia="Malgun Gothic"/>
        </w:rPr>
        <w:t xml:space="preserve"> A same HARQ process can be used for scheduling before the NTN receives HARQ-ACK for a previous TB using the HARQ process, </w:t>
      </w:r>
      <w:r w:rsidR="003219D5">
        <w:rPr>
          <w:rFonts w:eastAsia="Malgun Gothic"/>
        </w:rPr>
        <w:t>it</w:t>
      </w:r>
      <w:r>
        <w:rPr>
          <w:rFonts w:eastAsia="Malgun Gothic"/>
        </w:rPr>
        <w:t xml:space="preserve"> is </w:t>
      </w:r>
      <w:r w:rsidR="003219D5">
        <w:rPr>
          <w:rFonts w:eastAsia="Malgun Gothic"/>
        </w:rPr>
        <w:t>irrelevant to</w:t>
      </w:r>
      <w:r>
        <w:rPr>
          <w:rFonts w:eastAsia="Malgun Gothic"/>
        </w:rPr>
        <w:t xml:space="preserve"> UE operation</w:t>
      </w:r>
      <w:r w:rsidR="003219D5">
        <w:rPr>
          <w:rFonts w:eastAsia="Malgun Gothic"/>
        </w:rPr>
        <w:t xml:space="preserve"> whether the NTN received the PUCCH before another TB is scheduled for the HARQ process</w:t>
      </w:r>
      <w:r>
        <w:rPr>
          <w:rFonts w:eastAsia="Malgun Gothic"/>
        </w:rPr>
        <w:t>, and</w:t>
      </w:r>
      <w:r w:rsidR="003219D5">
        <w:rPr>
          <w:rFonts w:eastAsia="Malgun Gothic"/>
        </w:rPr>
        <w:t xml:space="preserve"> reception of a HARQ-ACK report </w:t>
      </w:r>
      <w:r>
        <w:rPr>
          <w:rFonts w:eastAsia="Malgun Gothic"/>
        </w:rPr>
        <w:t>would be preferable for the NTN over disablin</w:t>
      </w:r>
      <w:r w:rsidR="003219D5">
        <w:rPr>
          <w:rFonts w:eastAsia="Malgun Gothic"/>
        </w:rPr>
        <w:t>g it</w:t>
      </w:r>
      <w:r>
        <w:rPr>
          <w:rFonts w:eastAsia="Malgun Gothic"/>
        </w:rPr>
        <w:t>, for example because it would</w:t>
      </w:r>
      <w:r w:rsidR="003219D5">
        <w:rPr>
          <w:rFonts w:eastAsia="Malgun Gothic"/>
        </w:rPr>
        <w:t xml:space="preserve"> allow</w:t>
      </w:r>
      <w:r>
        <w:rPr>
          <w:rFonts w:eastAsia="Malgun Gothic"/>
        </w:rPr>
        <w:t xml:space="preserve"> open-loop link adaptation (OLLA). </w:t>
      </w:r>
    </w:p>
    <w:p w14:paraId="120D3442" w14:textId="77777777" w:rsidR="00D97501" w:rsidRDefault="00D97501" w:rsidP="006A7769">
      <w:pPr>
        <w:suppressAutoHyphens/>
        <w:wordWrap/>
        <w:jc w:val="both"/>
        <w:rPr>
          <w:rFonts w:eastAsia="Malgun Gothic"/>
        </w:rPr>
      </w:pPr>
    </w:p>
    <w:p w14:paraId="05F8E783" w14:textId="64629F41" w:rsidR="00D97501" w:rsidRDefault="00D97501" w:rsidP="006A7769">
      <w:pPr>
        <w:suppressAutoHyphens/>
        <w:wordWrap/>
        <w:jc w:val="both"/>
        <w:rPr>
          <w:rFonts w:eastAsia="Malgun Gothic"/>
        </w:rPr>
      </w:pPr>
      <w:r>
        <w:rPr>
          <w:rFonts w:eastAsia="Malgun Gothic"/>
        </w:rPr>
        <w:t>UE power savings is another frequently mentioned reason but UE power savings from disabling HARQ-ACK for some HARQ processes are minimal especially f</w:t>
      </w:r>
      <w:r w:rsidRPr="00B35BCA">
        <w:rPr>
          <w:rFonts w:eastAsia="Malgun Gothic"/>
        </w:rPr>
        <w:t xml:space="preserve">or Rel-17 NTN with single-cell operation </w:t>
      </w:r>
      <w:r>
        <w:rPr>
          <w:rFonts w:eastAsia="Malgun Gothic"/>
        </w:rPr>
        <w:t>where</w:t>
      </w:r>
      <w:r w:rsidRPr="00B35BCA">
        <w:rPr>
          <w:rFonts w:eastAsia="Malgun Gothic"/>
        </w:rPr>
        <w:t xml:space="preserve"> the HARQ-ACK payload, even for the most aggressive UL-DL configurations, is </w:t>
      </w:r>
      <w:r w:rsidR="003219D5">
        <w:rPr>
          <w:rFonts w:eastAsia="Malgun Gothic"/>
        </w:rPr>
        <w:t>very small</w:t>
      </w:r>
      <w:r w:rsidRPr="00B35BCA">
        <w:rPr>
          <w:rFonts w:eastAsia="Malgun Gothic"/>
        </w:rPr>
        <w:t xml:space="preserve"> compared</w:t>
      </w:r>
      <w:r>
        <w:rPr>
          <w:rFonts w:eastAsia="Malgun Gothic"/>
        </w:rPr>
        <w:t xml:space="preserve"> to </w:t>
      </w:r>
      <w:r w:rsidRPr="00B35BCA">
        <w:rPr>
          <w:rFonts w:eastAsia="Malgun Gothic"/>
        </w:rPr>
        <w:t>even the smalles</w:t>
      </w:r>
      <w:r>
        <w:rPr>
          <w:rFonts w:eastAsia="Malgun Gothic"/>
        </w:rPr>
        <w:t>t TBS.</w:t>
      </w:r>
      <w:r w:rsidR="003219D5">
        <w:rPr>
          <w:rFonts w:eastAsia="Malgun Gothic"/>
        </w:rPr>
        <w:t xml:space="preserve"> As part of the total UE power consumption, UE power savings due to reducing HARQ-ACK payload by a few bits are rather negligible.</w:t>
      </w:r>
    </w:p>
    <w:p w14:paraId="02D855D4" w14:textId="36846278" w:rsidR="00D97501" w:rsidRDefault="00D97501" w:rsidP="006A7769">
      <w:pPr>
        <w:suppressAutoHyphens/>
        <w:wordWrap/>
        <w:jc w:val="both"/>
        <w:rPr>
          <w:rFonts w:eastAsia="Malgun Gothic"/>
        </w:rPr>
      </w:pPr>
    </w:p>
    <w:p w14:paraId="34108317" w14:textId="4AEB221A" w:rsidR="0087181E" w:rsidRDefault="00C42C0E" w:rsidP="006A7769">
      <w:pPr>
        <w:suppressAutoHyphens/>
        <w:wordWrap/>
        <w:jc w:val="both"/>
        <w:rPr>
          <w:rFonts w:eastAsia="Malgun Gothic"/>
        </w:rPr>
      </w:pPr>
      <w:r>
        <w:rPr>
          <w:rFonts w:eastAsia="Malgun Gothic"/>
        </w:rPr>
        <w:t>In our opinion, a main benefit for disabling HARQ-ACK reports relates to UE buffer management for supporting up to 32 HARQ processes without increasing the size of the UE buffer. Then, the UE does not need to keep in its buffer the LLRs for incorrectly decoded TBs that are associated with HARQ processes having disabled HARQ-ACK reports. However, it is not clear wh</w:t>
      </w:r>
      <w:r w:rsidR="0087181E">
        <w:rPr>
          <w:rFonts w:eastAsia="Malgun Gothic"/>
        </w:rPr>
        <w:t>ether a UE should support DCI-based retransmissions for TBs that the UE does not provide HARQ-ACK reports for the respective initial transmissions. Even if such TB retransmissions are to be allowed despite the NTN not knowing the decoding outcome</w:t>
      </w:r>
      <w:r w:rsidR="00D931E5">
        <w:rPr>
          <w:rFonts w:eastAsia="Malgun Gothic"/>
        </w:rPr>
        <w:t>s</w:t>
      </w:r>
      <w:r w:rsidR="0087181E">
        <w:rPr>
          <w:rFonts w:eastAsia="Malgun Gothic"/>
        </w:rPr>
        <w:t xml:space="preserve">, it is not clear whether the UE should be expected to perform LLR combining. It is preferable that at least a UE is allowed to not store LLRs for TBs that the UE incorrectly decoded and did not provide respective HARQ-ACK reports.  </w:t>
      </w:r>
    </w:p>
    <w:p w14:paraId="3369D68A" w14:textId="347A29F2" w:rsidR="00370475" w:rsidRDefault="00370475" w:rsidP="006A7769">
      <w:pPr>
        <w:suppressAutoHyphens/>
        <w:wordWrap/>
        <w:jc w:val="both"/>
        <w:rPr>
          <w:rFonts w:eastAsia="Malgun Gothic"/>
        </w:rPr>
      </w:pPr>
      <w:r>
        <w:rPr>
          <w:rFonts w:eastAsia="Malgun Gothic"/>
        </w:rPr>
        <w:t xml:space="preserve"> </w:t>
      </w:r>
    </w:p>
    <w:p w14:paraId="28668756" w14:textId="46EDF709" w:rsidR="00631581" w:rsidRPr="0068474F" w:rsidRDefault="001F50DA" w:rsidP="006A7769">
      <w:pPr>
        <w:suppressAutoHyphens/>
        <w:wordWrap/>
        <w:jc w:val="both"/>
        <w:rPr>
          <w:b/>
          <w:bCs/>
          <w:kern w:val="2"/>
          <w:u w:val="single"/>
          <w:lang w:eastAsia="ja-JP"/>
        </w:rPr>
      </w:pPr>
      <w:r w:rsidRPr="002170CF">
        <w:rPr>
          <w:b/>
          <w:bCs/>
          <w:kern w:val="2"/>
          <w:u w:val="single"/>
          <w:lang w:eastAsia="ja-JP"/>
        </w:rPr>
        <w:t xml:space="preserve">Proposal 1: </w:t>
      </w:r>
      <w:r>
        <w:rPr>
          <w:b/>
          <w:u w:val="single"/>
        </w:rPr>
        <w:t>RAN1 to conclude whether a UE should support DCI-based retransmissions for TB</w:t>
      </w:r>
      <w:r w:rsidR="00D931E5">
        <w:rPr>
          <w:b/>
          <w:u w:val="single"/>
        </w:rPr>
        <w:t>s</w:t>
      </w:r>
      <w:r>
        <w:rPr>
          <w:b/>
          <w:u w:val="single"/>
        </w:rPr>
        <w:t xml:space="preserve"> with disabled HARQ-ACK report</w:t>
      </w:r>
      <w:r w:rsidR="00D931E5">
        <w:rPr>
          <w:b/>
          <w:u w:val="single"/>
        </w:rPr>
        <w:t>s</w:t>
      </w:r>
      <w:r w:rsidRPr="002170CF">
        <w:rPr>
          <w:b/>
          <w:u w:val="single"/>
        </w:rPr>
        <w:t>.</w:t>
      </w:r>
      <w:r>
        <w:rPr>
          <w:b/>
          <w:u w:val="single"/>
        </w:rPr>
        <w:t xml:space="preserve"> If such retransmissions are to be supported, the UE behavior regarding LLR combining is up to UE implementation.</w:t>
      </w:r>
      <w:r w:rsidRPr="002170CF">
        <w:rPr>
          <w:b/>
          <w:u w:val="single"/>
        </w:rPr>
        <w:t xml:space="preserve"> </w:t>
      </w:r>
    </w:p>
    <w:p w14:paraId="71B6EC2E" w14:textId="77777777" w:rsidR="00B00123" w:rsidRPr="00381CB4" w:rsidRDefault="00B00123" w:rsidP="000C7771">
      <w:pPr>
        <w:suppressAutoHyphens/>
        <w:wordWrap/>
        <w:jc w:val="both"/>
        <w:rPr>
          <w:rFonts w:eastAsia="Malgun Gothic"/>
        </w:rPr>
      </w:pPr>
    </w:p>
    <w:p w14:paraId="6DD42255" w14:textId="012E4A32" w:rsidR="00090C28" w:rsidRPr="0068474F" w:rsidRDefault="00B00123" w:rsidP="000C7771">
      <w:pPr>
        <w:pStyle w:val="Heading2"/>
        <w:keepNext w:val="0"/>
        <w:keepLines w:val="0"/>
        <w:widowControl w:val="0"/>
        <w:suppressAutoHyphens/>
        <w:spacing w:before="0" w:after="120"/>
        <w:rPr>
          <w:sz w:val="28"/>
          <w:szCs w:val="18"/>
          <w:lang w:val="en-US"/>
        </w:rPr>
      </w:pPr>
      <w:r w:rsidRPr="0068474F">
        <w:rPr>
          <w:sz w:val="28"/>
          <w:szCs w:val="18"/>
          <w:lang w:val="en-US"/>
        </w:rPr>
        <w:t>Type-1</w:t>
      </w:r>
      <w:r w:rsidR="00090C28" w:rsidRPr="0068474F">
        <w:rPr>
          <w:sz w:val="28"/>
          <w:szCs w:val="18"/>
          <w:lang w:val="en-US"/>
        </w:rPr>
        <w:t xml:space="preserve"> HARQ-ACK codebook</w:t>
      </w:r>
    </w:p>
    <w:p w14:paraId="0F320889" w14:textId="5BA11A62" w:rsidR="0068474F" w:rsidRPr="00B35BCA" w:rsidRDefault="00CD6407" w:rsidP="0068474F">
      <w:pPr>
        <w:suppressAutoHyphens/>
        <w:wordWrap/>
        <w:jc w:val="both"/>
        <w:rPr>
          <w:rFonts w:eastAsia="Malgun Gothic"/>
        </w:rPr>
      </w:pPr>
      <w:r>
        <w:rPr>
          <w:rFonts w:eastAsia="Malgun Gothic"/>
        </w:rPr>
        <w:t>For the Type-1 HARQ-ACK CB, t</w:t>
      </w:r>
      <w:r w:rsidR="0068474F" w:rsidRPr="00B35BCA">
        <w:rPr>
          <w:rFonts w:eastAsia="Malgun Gothic"/>
        </w:rPr>
        <w:t>he following w</w:t>
      </w:r>
      <w:r w:rsidR="004D40E0">
        <w:rPr>
          <w:rFonts w:eastAsia="Malgun Gothic"/>
        </w:rPr>
        <w:t>as</w:t>
      </w:r>
      <w:r w:rsidR="0068474F" w:rsidRPr="00B35BCA">
        <w:rPr>
          <w:rFonts w:eastAsia="Malgun Gothic"/>
        </w:rPr>
        <w:t xml:space="preserve"> agreed </w:t>
      </w:r>
      <w:r w:rsidR="0068474F">
        <w:rPr>
          <w:rFonts w:eastAsia="Malgun Gothic"/>
        </w:rPr>
        <w:t xml:space="preserve">in RAN1#106 </w:t>
      </w:r>
      <w:r w:rsidR="0068474F" w:rsidRPr="00B35BCA">
        <w:rPr>
          <w:rFonts w:eastAsia="Malgun Gothic"/>
        </w:rPr>
        <w:t>when HARQ-ACK report</w:t>
      </w:r>
      <w:r w:rsidR="0068474F">
        <w:rPr>
          <w:rFonts w:eastAsia="Malgun Gothic"/>
        </w:rPr>
        <w:t>s</w:t>
      </w:r>
      <w:r w:rsidR="0068474F" w:rsidRPr="00B35BCA">
        <w:rPr>
          <w:rFonts w:eastAsia="Malgun Gothic"/>
        </w:rPr>
        <w:t xml:space="preserve"> for some HARQ processes </w:t>
      </w:r>
      <w:r w:rsidR="0068474F">
        <w:rPr>
          <w:rFonts w:eastAsia="Malgun Gothic"/>
        </w:rPr>
        <w:t>are</w:t>
      </w:r>
      <w:r w:rsidR="0068474F" w:rsidRPr="00B35BCA">
        <w:rPr>
          <w:rFonts w:eastAsia="Malgun Gothic"/>
        </w:rPr>
        <w:t xml:space="preserve"> disabled</w:t>
      </w:r>
      <w:r w:rsidR="00836C42">
        <w:rPr>
          <w:rFonts w:eastAsia="Malgun Gothic"/>
        </w:rPr>
        <w:t xml:space="preserve"> [1]</w:t>
      </w:r>
      <w:r w:rsidR="0068474F" w:rsidRPr="00B35BCA">
        <w:rPr>
          <w:rFonts w:eastAsia="Malgun Gothic"/>
        </w:rPr>
        <w:t>.</w:t>
      </w:r>
    </w:p>
    <w:p w14:paraId="002FA439" w14:textId="77777777" w:rsidR="004D40E0" w:rsidRPr="00B35BCA" w:rsidRDefault="004D40E0" w:rsidP="004D40E0">
      <w:pPr>
        <w:suppressAutoHyphens/>
        <w:wordWrap/>
        <w:jc w:val="both"/>
        <w:rPr>
          <w:rFonts w:eastAsia="Malgun Gothic"/>
          <w:color w:val="000000"/>
        </w:rPr>
      </w:pPr>
    </w:p>
    <w:tbl>
      <w:tblPr>
        <w:tblStyle w:val="TableGrid"/>
        <w:tblW w:w="0" w:type="auto"/>
        <w:tblLook w:val="04A0" w:firstRow="1" w:lastRow="0" w:firstColumn="1" w:lastColumn="0" w:noHBand="0" w:noVBand="1"/>
      </w:tblPr>
      <w:tblGrid>
        <w:gridCol w:w="9631"/>
      </w:tblGrid>
      <w:tr w:rsidR="004D40E0" w:rsidRPr="00B35BCA" w14:paraId="78F2082F" w14:textId="77777777" w:rsidTr="00DB6F0A">
        <w:tc>
          <w:tcPr>
            <w:tcW w:w="9631" w:type="dxa"/>
          </w:tcPr>
          <w:p w14:paraId="3EBBDC13" w14:textId="77777777" w:rsidR="004D40E0" w:rsidRPr="00B35BCA" w:rsidRDefault="004D40E0" w:rsidP="00DB6F0A">
            <w:pPr>
              <w:suppressAutoHyphens/>
              <w:wordWrap/>
              <w:spacing w:after="0"/>
              <w:rPr>
                <w:color w:val="000000"/>
                <w:lang w:eastAsia="x-none"/>
              </w:rPr>
            </w:pPr>
            <w:r w:rsidRPr="00B35BCA">
              <w:rPr>
                <w:color w:val="000000"/>
                <w:highlight w:val="green"/>
                <w:lang w:eastAsia="x-none"/>
              </w:rPr>
              <w:t>Agreement:</w:t>
            </w:r>
          </w:p>
          <w:p w14:paraId="47F695AD" w14:textId="77777777" w:rsidR="004D40E0" w:rsidRDefault="004D40E0" w:rsidP="00596AB5">
            <w:pPr>
              <w:widowControl/>
              <w:numPr>
                <w:ilvl w:val="0"/>
                <w:numId w:val="19"/>
              </w:numPr>
              <w:wordWrap/>
              <w:autoSpaceDE/>
              <w:autoSpaceDN/>
              <w:spacing w:after="0"/>
              <w:jc w:val="both"/>
              <w:rPr>
                <w:bCs/>
                <w:lang w:eastAsia="x-none"/>
              </w:rPr>
            </w:pPr>
            <w:r>
              <w:rPr>
                <w:bCs/>
                <w:lang w:eastAsia="x-none"/>
              </w:rPr>
              <w:t>For Type-1 HARQ codebook,</w:t>
            </w:r>
            <w:r w:rsidRPr="00B666B7">
              <w:rPr>
                <w:lang w:eastAsia="x-none"/>
              </w:rPr>
              <w:t xml:space="preserve"> </w:t>
            </w:r>
            <w:r>
              <w:rPr>
                <w:lang w:eastAsia="x-none"/>
              </w:rPr>
              <w:t>i</w:t>
            </w:r>
            <w:r w:rsidRPr="00B666B7">
              <w:rPr>
                <w:lang w:eastAsia="x-none"/>
              </w:rPr>
              <w:t>f DCIs carrying the feedback-disabled and feedback-enabled HARQ processes are detected by UE, one of following option</w:t>
            </w:r>
            <w:r w:rsidRPr="00B666B7">
              <w:rPr>
                <w:bCs/>
                <w:lang w:eastAsia="x-none"/>
              </w:rPr>
              <w:t>s should be support</w:t>
            </w:r>
            <w:r>
              <w:rPr>
                <w:bCs/>
                <w:lang w:eastAsia="x-none"/>
              </w:rPr>
              <w:t>ed</w:t>
            </w:r>
            <w:r w:rsidRPr="00B666B7">
              <w:rPr>
                <w:bCs/>
                <w:lang w:eastAsia="x-none"/>
              </w:rPr>
              <w:t>:</w:t>
            </w:r>
          </w:p>
          <w:p w14:paraId="59D8EEBB" w14:textId="77777777" w:rsidR="004D40E0" w:rsidRPr="00B666B7" w:rsidRDefault="004D40E0" w:rsidP="00596AB5">
            <w:pPr>
              <w:widowControl/>
              <w:numPr>
                <w:ilvl w:val="1"/>
                <w:numId w:val="19"/>
              </w:numPr>
              <w:wordWrap/>
              <w:autoSpaceDE/>
              <w:autoSpaceDN/>
              <w:spacing w:after="0"/>
              <w:jc w:val="both"/>
              <w:rPr>
                <w:bCs/>
                <w:lang w:eastAsia="x-none"/>
              </w:rPr>
            </w:pPr>
            <w:r w:rsidRPr="00B666B7">
              <w:rPr>
                <w:bCs/>
                <w:lang w:eastAsia="x-none"/>
              </w:rPr>
              <w:t>Option-1: The UE will r</w:t>
            </w:r>
            <w:r w:rsidRPr="00B666B7">
              <w:rPr>
                <w:lang w:eastAsia="x-none"/>
              </w:rPr>
              <w:t>eport NACK only for the feedback-disabled HARQ process regardless of decoding results of corresponding PDSCH</w:t>
            </w:r>
          </w:p>
          <w:p w14:paraId="724B5073" w14:textId="77777777" w:rsidR="004D40E0" w:rsidRPr="00B666B7" w:rsidRDefault="004D40E0" w:rsidP="00596AB5">
            <w:pPr>
              <w:widowControl/>
              <w:numPr>
                <w:ilvl w:val="1"/>
                <w:numId w:val="19"/>
              </w:numPr>
              <w:wordWrap/>
              <w:autoSpaceDE/>
              <w:autoSpaceDN/>
              <w:spacing w:after="0"/>
              <w:jc w:val="both"/>
              <w:rPr>
                <w:bCs/>
                <w:lang w:eastAsia="x-none"/>
              </w:rPr>
            </w:pPr>
            <w:r w:rsidRPr="00B666B7">
              <w:rPr>
                <w:bCs/>
                <w:lang w:eastAsia="x-none"/>
              </w:rPr>
              <w:t>Option-2: The UE will report NACK/ACK for the feedback-disabled HARQ process depending on the decoding results of corresponding PDSCH</w:t>
            </w:r>
          </w:p>
          <w:p w14:paraId="7E82BF4E" w14:textId="0888DD40" w:rsidR="004D40E0" w:rsidRPr="00B35BCA" w:rsidRDefault="004D40E0" w:rsidP="00596AB5">
            <w:pPr>
              <w:widowControl/>
              <w:numPr>
                <w:ilvl w:val="0"/>
                <w:numId w:val="19"/>
              </w:numPr>
              <w:wordWrap/>
              <w:autoSpaceDE/>
              <w:autoSpaceDN/>
              <w:spacing w:after="0"/>
              <w:jc w:val="both"/>
              <w:rPr>
                <w:lang w:eastAsia="x-none"/>
              </w:rPr>
            </w:pPr>
            <w:r w:rsidRPr="00B666B7">
              <w:rPr>
                <w:lang w:eastAsia="x-none"/>
              </w:rPr>
              <w:t>FFS</w:t>
            </w:r>
            <w:r w:rsidRPr="00B666B7">
              <w:rPr>
                <w:rFonts w:hint="eastAsia"/>
                <w:lang w:eastAsia="x-none"/>
              </w:rPr>
              <w:t>:</w:t>
            </w:r>
            <w:r w:rsidRPr="00B666B7">
              <w:rPr>
                <w:lang w:eastAsia="x-none"/>
              </w:rPr>
              <w:t xml:space="preserve"> Other cases, e.g., if only DCI carrying feedback-disabled HARQ process is detected by UE</w:t>
            </w:r>
            <w:r>
              <w:rPr>
                <w:lang w:eastAsia="x-none"/>
              </w:rPr>
              <w:t xml:space="preserve"> </w:t>
            </w:r>
          </w:p>
        </w:tc>
      </w:tr>
    </w:tbl>
    <w:p w14:paraId="286B0159" w14:textId="77777777" w:rsidR="0068474F" w:rsidRPr="00B35BCA" w:rsidRDefault="0068474F" w:rsidP="0068474F">
      <w:pPr>
        <w:suppressAutoHyphens/>
        <w:wordWrap/>
        <w:jc w:val="both"/>
        <w:rPr>
          <w:rFonts w:eastAsia="Malgun Gothic"/>
        </w:rPr>
      </w:pPr>
    </w:p>
    <w:p w14:paraId="2C1F780B" w14:textId="77777777" w:rsidR="0068474F" w:rsidRDefault="0068474F" w:rsidP="004D40E0">
      <w:pPr>
        <w:suppressAutoHyphens/>
        <w:wordWrap/>
        <w:spacing w:after="60"/>
        <w:jc w:val="both"/>
        <w:rPr>
          <w:rFonts w:eastAsia="Malgun Gothic"/>
        </w:rPr>
      </w:pPr>
      <w:r>
        <w:rPr>
          <w:rFonts w:eastAsia="Malgun Gothic"/>
        </w:rPr>
        <w:t>Option-1 is preferred because:</w:t>
      </w:r>
    </w:p>
    <w:p w14:paraId="4E4D0720" w14:textId="525F1040" w:rsidR="0068474F" w:rsidRPr="00D931E5" w:rsidRDefault="0068474F" w:rsidP="004D40E0">
      <w:pPr>
        <w:pStyle w:val="ListParagraph"/>
        <w:numPr>
          <w:ilvl w:val="0"/>
          <w:numId w:val="23"/>
        </w:numPr>
        <w:suppressAutoHyphens/>
        <w:spacing w:after="60"/>
        <w:contextualSpacing w:val="0"/>
        <w:jc w:val="both"/>
        <w:rPr>
          <w:rFonts w:eastAsia="Malgun Gothic"/>
        </w:rPr>
      </w:pPr>
      <w:r w:rsidRPr="00D931E5">
        <w:rPr>
          <w:rFonts w:eastAsia="Malgun Gothic"/>
        </w:rPr>
        <w:t xml:space="preserve">Option-2 is </w:t>
      </w:r>
      <w:r>
        <w:rPr>
          <w:rFonts w:eastAsia="Malgun Gothic"/>
          <w:lang w:val="en-US"/>
        </w:rPr>
        <w:t>not</w:t>
      </w:r>
      <w:r w:rsidRPr="00D931E5">
        <w:rPr>
          <w:rFonts w:eastAsia="Malgun Gothic"/>
        </w:rPr>
        <w:t xml:space="preserve"> meaning</w:t>
      </w:r>
      <w:r>
        <w:rPr>
          <w:rFonts w:eastAsia="Malgun Gothic"/>
          <w:lang w:val="en-US"/>
        </w:rPr>
        <w:t>ful</w:t>
      </w:r>
      <w:r w:rsidRPr="00D931E5">
        <w:rPr>
          <w:rFonts w:eastAsia="Malgun Gothic"/>
        </w:rPr>
        <w:t xml:space="preserve"> as there is no reason for the NTN to configure a UE with Type-1 HARQ-ACK </w:t>
      </w:r>
      <w:r>
        <w:rPr>
          <w:rFonts w:eastAsia="Malgun Gothic"/>
          <w:lang w:val="en-US"/>
        </w:rPr>
        <w:t>CB</w:t>
      </w:r>
      <w:r w:rsidRPr="00D931E5">
        <w:rPr>
          <w:rFonts w:eastAsia="Malgun Gothic"/>
        </w:rPr>
        <w:t xml:space="preserve"> and to disable HARQ-ACK reports for some HARQ processes</w:t>
      </w:r>
      <w:r>
        <w:rPr>
          <w:rFonts w:eastAsia="Malgun Gothic"/>
          <w:lang w:val="en-US"/>
        </w:rPr>
        <w:t xml:space="preserve"> – the UE behavior would be same as when all HARQ processes have enabled HARQ-ACK reports.</w:t>
      </w:r>
    </w:p>
    <w:p w14:paraId="7C173B40" w14:textId="77777777" w:rsidR="0068474F" w:rsidRDefault="0068474F" w:rsidP="004D40E0">
      <w:pPr>
        <w:pStyle w:val="ListParagraph"/>
        <w:numPr>
          <w:ilvl w:val="0"/>
          <w:numId w:val="23"/>
        </w:numPr>
        <w:suppressAutoHyphens/>
        <w:spacing w:after="60"/>
        <w:contextualSpacing w:val="0"/>
        <w:jc w:val="both"/>
        <w:rPr>
          <w:rFonts w:eastAsia="Malgun Gothic"/>
        </w:rPr>
      </w:pPr>
      <w:r>
        <w:rPr>
          <w:rFonts w:eastAsia="Malgun Gothic"/>
          <w:lang w:val="en-US"/>
        </w:rPr>
        <w:lastRenderedPageBreak/>
        <w:t>Option-1 enables simpler UE buffer management when the number of HARQ processes is larger than 16.</w:t>
      </w:r>
    </w:p>
    <w:p w14:paraId="22490448" w14:textId="77777777" w:rsidR="0068474F" w:rsidRPr="00D931E5" w:rsidRDefault="0068474F" w:rsidP="0068474F">
      <w:pPr>
        <w:pStyle w:val="ListParagraph"/>
        <w:numPr>
          <w:ilvl w:val="0"/>
          <w:numId w:val="23"/>
        </w:numPr>
        <w:suppressAutoHyphens/>
        <w:spacing w:after="0"/>
        <w:contextualSpacing w:val="0"/>
        <w:jc w:val="both"/>
        <w:rPr>
          <w:rFonts w:eastAsia="Malgun Gothic"/>
        </w:rPr>
      </w:pPr>
      <w:r>
        <w:rPr>
          <w:rFonts w:eastAsia="Malgun Gothic"/>
          <w:lang w:val="en-US"/>
        </w:rPr>
        <w:t xml:space="preserve">Option-2 has equivalently been agreed for the Type-2 HARQ-ACK CB and a common UE behavior is preferable. </w:t>
      </w:r>
    </w:p>
    <w:p w14:paraId="663605B6" w14:textId="63F5DCD5" w:rsidR="0068474F" w:rsidRDefault="0068474F" w:rsidP="0068474F">
      <w:pPr>
        <w:suppressAutoHyphens/>
        <w:wordWrap/>
        <w:jc w:val="both"/>
        <w:rPr>
          <w:rFonts w:eastAsia="Malgun Gothic"/>
        </w:rPr>
      </w:pPr>
    </w:p>
    <w:p w14:paraId="3C648E80" w14:textId="77777777" w:rsidR="004D40E0" w:rsidRPr="00F1276B" w:rsidRDefault="004D40E0" w:rsidP="004D40E0">
      <w:pPr>
        <w:suppressAutoHyphens/>
        <w:wordWrap/>
        <w:jc w:val="both"/>
        <w:rPr>
          <w:b/>
          <w:bCs/>
          <w:kern w:val="2"/>
          <w:u w:val="single"/>
          <w:lang w:eastAsia="ja-JP"/>
        </w:rPr>
      </w:pPr>
      <w:r w:rsidRPr="002170CF">
        <w:rPr>
          <w:b/>
          <w:bCs/>
          <w:kern w:val="2"/>
          <w:u w:val="single"/>
          <w:lang w:eastAsia="ja-JP"/>
        </w:rPr>
        <w:t xml:space="preserve">Proposal </w:t>
      </w:r>
      <w:r>
        <w:rPr>
          <w:b/>
          <w:bCs/>
          <w:kern w:val="2"/>
          <w:u w:val="single"/>
          <w:lang w:eastAsia="ja-JP"/>
        </w:rPr>
        <w:t>2</w:t>
      </w:r>
      <w:r w:rsidRPr="002170CF">
        <w:rPr>
          <w:b/>
          <w:bCs/>
          <w:kern w:val="2"/>
          <w:u w:val="single"/>
          <w:lang w:eastAsia="ja-JP"/>
        </w:rPr>
        <w:t>:</w:t>
      </w:r>
      <w:r>
        <w:rPr>
          <w:b/>
          <w:u w:val="single"/>
        </w:rPr>
        <w:t xml:space="preserve"> A UE configured Type-1 HARQ-ACK codebook reports NACK/DTX values for decoding outcomes of TBs associated with HARQ processes with disabled HARQ-ACK reports.</w:t>
      </w:r>
      <w:r w:rsidRPr="002170CF">
        <w:rPr>
          <w:b/>
          <w:u w:val="single"/>
        </w:rPr>
        <w:t xml:space="preserve"> </w:t>
      </w:r>
      <w:r>
        <w:rPr>
          <w:b/>
          <w:u w:val="single"/>
        </w:rPr>
        <w:t xml:space="preserve">The UE does not transmit a PUCCH with a Type-1 codebook when the UE receives only TBs for HARQ processes with disabled HARQ-ACK reports.   </w:t>
      </w:r>
    </w:p>
    <w:p w14:paraId="22CE2B0A" w14:textId="77777777" w:rsidR="004D40E0" w:rsidRDefault="004D40E0" w:rsidP="004D40E0">
      <w:pPr>
        <w:suppressAutoHyphens/>
        <w:wordWrap/>
        <w:jc w:val="both"/>
        <w:rPr>
          <w:rFonts w:eastAsia="Malgun Gothic"/>
        </w:rPr>
      </w:pPr>
    </w:p>
    <w:p w14:paraId="6C89224D" w14:textId="5D0F7D07" w:rsidR="004D40E0" w:rsidRPr="00B35BCA" w:rsidRDefault="004D40E0" w:rsidP="004D40E0">
      <w:pPr>
        <w:suppressAutoHyphens/>
        <w:wordWrap/>
        <w:jc w:val="both"/>
        <w:rPr>
          <w:rFonts w:eastAsia="Malgun Gothic"/>
        </w:rPr>
      </w:pPr>
      <w:r>
        <w:rPr>
          <w:rFonts w:eastAsia="Malgun Gothic"/>
        </w:rPr>
        <w:t>T</w:t>
      </w:r>
      <w:r w:rsidRPr="00B35BCA">
        <w:rPr>
          <w:rFonts w:eastAsia="Malgun Gothic"/>
        </w:rPr>
        <w:t>he following w</w:t>
      </w:r>
      <w:r>
        <w:rPr>
          <w:rFonts w:eastAsia="Malgun Gothic"/>
        </w:rPr>
        <w:t>as</w:t>
      </w:r>
      <w:r w:rsidRPr="00B35BCA">
        <w:rPr>
          <w:rFonts w:eastAsia="Malgun Gothic"/>
        </w:rPr>
        <w:t xml:space="preserve"> </w:t>
      </w:r>
      <w:r>
        <w:rPr>
          <w:rFonts w:eastAsia="Malgun Gothic"/>
        </w:rPr>
        <w:t xml:space="preserve">also </w:t>
      </w:r>
      <w:r w:rsidRPr="00B35BCA">
        <w:rPr>
          <w:rFonts w:eastAsia="Malgun Gothic"/>
        </w:rPr>
        <w:t xml:space="preserve">agreed </w:t>
      </w:r>
      <w:r>
        <w:rPr>
          <w:rFonts w:eastAsia="Malgun Gothic"/>
        </w:rPr>
        <w:t xml:space="preserve">in RAN1#106 </w:t>
      </w:r>
      <w:r w:rsidRPr="00B35BCA">
        <w:rPr>
          <w:rFonts w:eastAsia="Malgun Gothic"/>
        </w:rPr>
        <w:t>when HARQ-ACK report</w:t>
      </w:r>
      <w:r>
        <w:rPr>
          <w:rFonts w:eastAsia="Malgun Gothic"/>
        </w:rPr>
        <w:t>s</w:t>
      </w:r>
      <w:r w:rsidRPr="00B35BCA">
        <w:rPr>
          <w:rFonts w:eastAsia="Malgun Gothic"/>
        </w:rPr>
        <w:t xml:space="preserve"> for some HARQ processes </w:t>
      </w:r>
      <w:r>
        <w:rPr>
          <w:rFonts w:eastAsia="Malgun Gothic"/>
        </w:rPr>
        <w:t>are</w:t>
      </w:r>
      <w:r w:rsidRPr="00B35BCA">
        <w:rPr>
          <w:rFonts w:eastAsia="Malgun Gothic"/>
        </w:rPr>
        <w:t xml:space="preserve"> disabled</w:t>
      </w:r>
      <w:r w:rsidR="00836C42">
        <w:rPr>
          <w:rFonts w:eastAsia="Malgun Gothic"/>
        </w:rPr>
        <w:t xml:space="preserve"> [1]</w:t>
      </w:r>
      <w:r w:rsidRPr="00B35BCA">
        <w:rPr>
          <w:rFonts w:eastAsia="Malgun Gothic"/>
        </w:rPr>
        <w:t>.</w:t>
      </w:r>
    </w:p>
    <w:p w14:paraId="0B89A49E" w14:textId="77777777" w:rsidR="004D40E0" w:rsidRPr="00B35BCA" w:rsidRDefault="004D40E0" w:rsidP="004D40E0">
      <w:pPr>
        <w:suppressAutoHyphens/>
        <w:wordWrap/>
        <w:jc w:val="both"/>
        <w:rPr>
          <w:rFonts w:eastAsia="Malgun Gothic"/>
          <w:color w:val="000000"/>
        </w:rPr>
      </w:pPr>
    </w:p>
    <w:tbl>
      <w:tblPr>
        <w:tblStyle w:val="TableGrid"/>
        <w:tblW w:w="0" w:type="auto"/>
        <w:tblLook w:val="04A0" w:firstRow="1" w:lastRow="0" w:firstColumn="1" w:lastColumn="0" w:noHBand="0" w:noVBand="1"/>
      </w:tblPr>
      <w:tblGrid>
        <w:gridCol w:w="9631"/>
      </w:tblGrid>
      <w:tr w:rsidR="004D40E0" w:rsidRPr="00B35BCA" w14:paraId="4DA51DBC" w14:textId="77777777" w:rsidTr="00DB6F0A">
        <w:tc>
          <w:tcPr>
            <w:tcW w:w="9631" w:type="dxa"/>
          </w:tcPr>
          <w:p w14:paraId="57AFB874" w14:textId="77777777" w:rsidR="004D40E0" w:rsidRDefault="004D40E0" w:rsidP="00DB6F0A">
            <w:pPr>
              <w:wordWrap/>
              <w:spacing w:after="0"/>
              <w:rPr>
                <w:lang w:eastAsia="x-none"/>
              </w:rPr>
            </w:pPr>
            <w:r w:rsidRPr="00EB7804">
              <w:rPr>
                <w:highlight w:val="green"/>
                <w:lang w:eastAsia="x-none"/>
              </w:rPr>
              <w:t>Agreement:</w:t>
            </w:r>
          </w:p>
          <w:p w14:paraId="0B4415A2" w14:textId="77777777" w:rsidR="004D40E0" w:rsidRDefault="004D40E0" w:rsidP="00596AB5">
            <w:pPr>
              <w:wordWrap/>
              <w:spacing w:after="0"/>
              <w:jc w:val="both"/>
              <w:rPr>
                <w:lang w:eastAsia="x-none"/>
              </w:rPr>
            </w:pPr>
            <w:r>
              <w:rPr>
                <w:lang w:eastAsia="x-none"/>
              </w:rPr>
              <w:t>For Type-1 HARQ codebook, if only DCI carrying feedback-disabled HARQ process is detected by UE, one of following options should be supported:</w:t>
            </w:r>
          </w:p>
          <w:p w14:paraId="4DFE9302" w14:textId="77777777" w:rsidR="004D40E0" w:rsidRDefault="004D40E0" w:rsidP="00596AB5">
            <w:pPr>
              <w:widowControl/>
              <w:numPr>
                <w:ilvl w:val="0"/>
                <w:numId w:val="24"/>
              </w:numPr>
              <w:wordWrap/>
              <w:autoSpaceDE/>
              <w:autoSpaceDN/>
              <w:spacing w:after="0"/>
              <w:jc w:val="both"/>
              <w:rPr>
                <w:lang w:eastAsia="x-none"/>
              </w:rPr>
            </w:pPr>
            <w:r>
              <w:rPr>
                <w:lang w:eastAsia="x-none"/>
              </w:rPr>
              <w:t>Option-1: The UE’s behavior is same as the case if DCIs carrying the feedback-disabled and feedback-enabled HARQ processes are detected by UE</w:t>
            </w:r>
          </w:p>
          <w:p w14:paraId="3A5AA58B" w14:textId="77777777" w:rsidR="004D40E0" w:rsidRDefault="004D40E0" w:rsidP="00596AB5">
            <w:pPr>
              <w:widowControl/>
              <w:numPr>
                <w:ilvl w:val="0"/>
                <w:numId w:val="24"/>
              </w:numPr>
              <w:wordWrap/>
              <w:autoSpaceDE/>
              <w:autoSpaceDN/>
              <w:spacing w:after="0"/>
              <w:jc w:val="both"/>
              <w:rPr>
                <w:lang w:eastAsia="x-none"/>
              </w:rPr>
            </w:pPr>
            <w:r>
              <w:rPr>
                <w:lang w:eastAsia="x-none"/>
              </w:rPr>
              <w:t>Option-2: The UE should skip the codebook feedback at least when the feedback is carried by PUCCH</w:t>
            </w:r>
          </w:p>
          <w:p w14:paraId="428D9BF7" w14:textId="77777777" w:rsidR="004D40E0" w:rsidRPr="00B35BCA" w:rsidRDefault="004D40E0" w:rsidP="00596AB5">
            <w:pPr>
              <w:widowControl/>
              <w:numPr>
                <w:ilvl w:val="1"/>
                <w:numId w:val="24"/>
              </w:numPr>
              <w:wordWrap/>
              <w:autoSpaceDE/>
              <w:autoSpaceDN/>
              <w:spacing w:after="0"/>
              <w:jc w:val="both"/>
              <w:rPr>
                <w:lang w:eastAsia="x-none"/>
              </w:rPr>
            </w:pPr>
            <w:r>
              <w:rPr>
                <w:lang w:eastAsia="x-none"/>
              </w:rPr>
              <w:t xml:space="preserve">FFS: the case that feedback is carried by PUSCH. </w:t>
            </w:r>
          </w:p>
        </w:tc>
      </w:tr>
    </w:tbl>
    <w:p w14:paraId="67142984" w14:textId="77777777" w:rsidR="004D40E0" w:rsidRDefault="004D40E0" w:rsidP="0068474F">
      <w:pPr>
        <w:suppressAutoHyphens/>
        <w:wordWrap/>
        <w:jc w:val="both"/>
        <w:rPr>
          <w:rFonts w:eastAsia="Malgun Gothic"/>
        </w:rPr>
      </w:pPr>
    </w:p>
    <w:p w14:paraId="418602DD" w14:textId="173DE433" w:rsidR="0068474F" w:rsidRDefault="004D40E0" w:rsidP="0068474F">
      <w:pPr>
        <w:suppressAutoHyphens/>
        <w:wordWrap/>
        <w:jc w:val="both"/>
        <w:rPr>
          <w:rFonts w:eastAsia="Malgun Gothic"/>
        </w:rPr>
      </w:pPr>
      <w:r>
        <w:rPr>
          <w:rFonts w:eastAsia="Malgun Gothic"/>
        </w:rPr>
        <w:t>Option-2 is preferred. A</w:t>
      </w:r>
      <w:r w:rsidR="0068474F">
        <w:rPr>
          <w:rFonts w:eastAsia="Malgun Gothic"/>
        </w:rPr>
        <w:t xml:space="preserve"> UE should not transmit PUCCH with Type-1 HARQ-ACK CB when the UE is configured to not report HARQ-ACK for all TBs the UE received. If there were additional TBs with enabled HARQ-ACK that the UE did not receive (UE failed to detect corresponding DCI formats), the effect is same if the UE provides a Type-1 HARQ-ACK CB with NACK/DTX values for those TBs or if the NTN determines DTX for the PUCCH (the same holds when the UE does not correctly decode any TB with enabled HARQ process but there is no need for marginal optimizations without practical impact). If the Type-1 HARQ-ACK CB is to be multiplexed in a PUSCH, the UE follows the indication of the UL DAI</w:t>
      </w:r>
      <w:r>
        <w:rPr>
          <w:rFonts w:eastAsia="Malgun Gothic"/>
        </w:rPr>
        <w:t xml:space="preserve"> as in Rel-16</w:t>
      </w:r>
      <w:r w:rsidR="0068474F">
        <w:rPr>
          <w:rFonts w:eastAsia="Malgun Gothic"/>
        </w:rPr>
        <w:t xml:space="preserve">. For a CG-PUSCH, the UE behavior </w:t>
      </w:r>
      <w:r>
        <w:rPr>
          <w:rFonts w:eastAsia="Malgun Gothic"/>
        </w:rPr>
        <w:t xml:space="preserve">is as </w:t>
      </w:r>
      <w:r w:rsidR="0068474F">
        <w:rPr>
          <w:rFonts w:eastAsia="Malgun Gothic"/>
        </w:rPr>
        <w:t>for</w:t>
      </w:r>
      <w:r w:rsidR="00CD6407">
        <w:rPr>
          <w:rFonts w:eastAsia="Malgun Gothic"/>
        </w:rPr>
        <w:t xml:space="preserve"> multiplexing in</w:t>
      </w:r>
      <w:r w:rsidR="0068474F">
        <w:rPr>
          <w:rFonts w:eastAsia="Malgun Gothic"/>
        </w:rPr>
        <w:t xml:space="preserve"> the PUCCH and the UE does not multiplex</w:t>
      </w:r>
      <w:r w:rsidR="00CD6407">
        <w:rPr>
          <w:rFonts w:eastAsia="Malgun Gothic"/>
        </w:rPr>
        <w:t xml:space="preserve"> a Type-1 HARQ-ACK CB in the CG-PUSCH</w:t>
      </w:r>
      <w:r>
        <w:rPr>
          <w:rFonts w:eastAsia="Malgun Gothic"/>
        </w:rPr>
        <w:t xml:space="preserve"> (Rel-16 UE behavior when the UE does not transmit a PUCCH)</w:t>
      </w:r>
      <w:r w:rsidR="0068474F">
        <w:rPr>
          <w:rFonts w:eastAsia="Malgun Gothic"/>
        </w:rPr>
        <w:t xml:space="preserve">.  </w:t>
      </w:r>
    </w:p>
    <w:p w14:paraId="4D28B9C4" w14:textId="77777777" w:rsidR="0068474F" w:rsidRDefault="0068474F" w:rsidP="0068474F">
      <w:pPr>
        <w:suppressAutoHyphens/>
        <w:wordWrap/>
        <w:jc w:val="both"/>
        <w:rPr>
          <w:rFonts w:eastAsia="Malgun Gothic"/>
        </w:rPr>
      </w:pPr>
    </w:p>
    <w:p w14:paraId="2E6B7A1B" w14:textId="0BC76D3F" w:rsidR="0068474F" w:rsidRPr="00F1276B" w:rsidRDefault="0068474F" w:rsidP="0068474F">
      <w:pPr>
        <w:suppressAutoHyphens/>
        <w:wordWrap/>
        <w:jc w:val="both"/>
        <w:rPr>
          <w:b/>
          <w:bCs/>
          <w:kern w:val="2"/>
          <w:u w:val="single"/>
          <w:lang w:eastAsia="ja-JP"/>
        </w:rPr>
      </w:pPr>
      <w:r w:rsidRPr="002170CF">
        <w:rPr>
          <w:b/>
          <w:bCs/>
          <w:kern w:val="2"/>
          <w:u w:val="single"/>
          <w:lang w:eastAsia="ja-JP"/>
        </w:rPr>
        <w:t xml:space="preserve">Proposal </w:t>
      </w:r>
      <w:r w:rsidR="004D40E0">
        <w:rPr>
          <w:b/>
          <w:bCs/>
          <w:kern w:val="2"/>
          <w:u w:val="single"/>
          <w:lang w:eastAsia="ja-JP"/>
        </w:rPr>
        <w:t>3</w:t>
      </w:r>
      <w:r w:rsidRPr="002170CF">
        <w:rPr>
          <w:b/>
          <w:bCs/>
          <w:kern w:val="2"/>
          <w:u w:val="single"/>
          <w:lang w:eastAsia="ja-JP"/>
        </w:rPr>
        <w:t>:</w:t>
      </w:r>
      <w:r>
        <w:rPr>
          <w:b/>
          <w:u w:val="single"/>
        </w:rPr>
        <w:t xml:space="preserve"> A UE does not transmit a PUCCH with a Type-1 </w:t>
      </w:r>
      <w:r w:rsidR="004D40E0">
        <w:rPr>
          <w:b/>
          <w:u w:val="single"/>
        </w:rPr>
        <w:t xml:space="preserve">HARQ-ACK </w:t>
      </w:r>
      <w:r>
        <w:rPr>
          <w:b/>
          <w:u w:val="single"/>
        </w:rPr>
        <w:t xml:space="preserve">codebook when the UE receives only TBs for HARQ processes with disabled HARQ-ACK reports. </w:t>
      </w:r>
      <w:r w:rsidR="004D40E0">
        <w:rPr>
          <w:b/>
          <w:u w:val="single"/>
        </w:rPr>
        <w:t>Rel-16 applies for the UE behavior when a Type-1</w:t>
      </w:r>
      <w:r>
        <w:rPr>
          <w:b/>
          <w:u w:val="single"/>
        </w:rPr>
        <w:t xml:space="preserve"> </w:t>
      </w:r>
      <w:r w:rsidR="004D40E0">
        <w:rPr>
          <w:b/>
          <w:u w:val="single"/>
        </w:rPr>
        <w:t>HARQ-ACK codebook is to be multiplexed in a PUSCH.</w:t>
      </w:r>
      <w:r>
        <w:rPr>
          <w:b/>
          <w:u w:val="single"/>
        </w:rPr>
        <w:t xml:space="preserve"> </w:t>
      </w:r>
    </w:p>
    <w:p w14:paraId="5A439804" w14:textId="77777777" w:rsidR="00906B2F" w:rsidRDefault="00906B2F" w:rsidP="000C7771">
      <w:pPr>
        <w:suppressAutoHyphens/>
        <w:wordWrap/>
        <w:jc w:val="both"/>
      </w:pPr>
    </w:p>
    <w:p w14:paraId="23C9E47F" w14:textId="73589140" w:rsidR="00093CF7" w:rsidRPr="00906B2F" w:rsidRDefault="00093CF7" w:rsidP="00093CF7">
      <w:pPr>
        <w:pStyle w:val="Heading2"/>
        <w:keepNext w:val="0"/>
        <w:keepLines w:val="0"/>
        <w:widowControl w:val="0"/>
        <w:suppressAutoHyphens/>
        <w:spacing w:before="0" w:after="120"/>
        <w:rPr>
          <w:sz w:val="28"/>
          <w:szCs w:val="18"/>
          <w:lang w:val="en-US"/>
        </w:rPr>
      </w:pPr>
      <w:r w:rsidRPr="00906B2F">
        <w:rPr>
          <w:sz w:val="28"/>
          <w:szCs w:val="18"/>
          <w:lang w:val="en-US"/>
        </w:rPr>
        <w:t>Type-2 HARQ-ACK codebook</w:t>
      </w:r>
    </w:p>
    <w:p w14:paraId="11C82514" w14:textId="7143B685" w:rsidR="00CD6407" w:rsidRPr="00CD6407" w:rsidRDefault="00CD6407" w:rsidP="000C7771">
      <w:pPr>
        <w:suppressAutoHyphens/>
        <w:wordWrap/>
        <w:jc w:val="both"/>
        <w:rPr>
          <w:rFonts w:eastAsia="Malgun Gothic"/>
        </w:rPr>
      </w:pPr>
      <w:r>
        <w:rPr>
          <w:rFonts w:eastAsia="Malgun Gothic"/>
        </w:rPr>
        <w:t>For the Type-2 HARQ-ACK CB, t</w:t>
      </w:r>
      <w:r w:rsidRPr="00B35BCA">
        <w:rPr>
          <w:rFonts w:eastAsia="Malgun Gothic"/>
        </w:rPr>
        <w:t>he following w</w:t>
      </w:r>
      <w:r w:rsidR="00906B2F">
        <w:rPr>
          <w:rFonts w:eastAsia="Malgun Gothic"/>
        </w:rPr>
        <w:t>as</w:t>
      </w:r>
      <w:r w:rsidRPr="00B35BCA">
        <w:rPr>
          <w:rFonts w:eastAsia="Malgun Gothic"/>
        </w:rPr>
        <w:t xml:space="preserve"> agreed </w:t>
      </w:r>
      <w:r>
        <w:rPr>
          <w:rFonts w:eastAsia="Malgun Gothic"/>
        </w:rPr>
        <w:t xml:space="preserve">in RAN1#106 </w:t>
      </w:r>
      <w:r w:rsidRPr="00B35BCA">
        <w:rPr>
          <w:rFonts w:eastAsia="Malgun Gothic"/>
        </w:rPr>
        <w:t>when HARQ-ACK report</w:t>
      </w:r>
      <w:r>
        <w:rPr>
          <w:rFonts w:eastAsia="Malgun Gothic"/>
        </w:rPr>
        <w:t>s</w:t>
      </w:r>
      <w:r w:rsidRPr="00B35BCA">
        <w:rPr>
          <w:rFonts w:eastAsia="Malgun Gothic"/>
        </w:rPr>
        <w:t xml:space="preserve"> for some HARQ processes </w:t>
      </w:r>
      <w:r>
        <w:rPr>
          <w:rFonts w:eastAsia="Malgun Gothic"/>
        </w:rPr>
        <w:t>are</w:t>
      </w:r>
      <w:r w:rsidRPr="00B35BCA">
        <w:rPr>
          <w:rFonts w:eastAsia="Malgun Gothic"/>
        </w:rPr>
        <w:t xml:space="preserve"> disabled</w:t>
      </w:r>
      <w:r w:rsidR="00836C42">
        <w:rPr>
          <w:rFonts w:eastAsia="Malgun Gothic"/>
        </w:rPr>
        <w:t xml:space="preserve"> [1]</w:t>
      </w:r>
      <w:r w:rsidRPr="00B35BCA">
        <w:rPr>
          <w:rFonts w:eastAsia="Malgun Gothic"/>
        </w:rPr>
        <w:t>.</w:t>
      </w:r>
    </w:p>
    <w:p w14:paraId="355C78F8" w14:textId="77777777" w:rsidR="00CD6407" w:rsidRPr="00B35BCA" w:rsidRDefault="00CD6407" w:rsidP="00CD6407">
      <w:pPr>
        <w:suppressAutoHyphens/>
        <w:wordWrap/>
        <w:jc w:val="both"/>
        <w:rPr>
          <w:rFonts w:eastAsia="Malgun Gothic"/>
          <w:color w:val="000000"/>
        </w:rPr>
      </w:pPr>
    </w:p>
    <w:tbl>
      <w:tblPr>
        <w:tblStyle w:val="TableGrid"/>
        <w:tblW w:w="0" w:type="auto"/>
        <w:tblLook w:val="04A0" w:firstRow="1" w:lastRow="0" w:firstColumn="1" w:lastColumn="0" w:noHBand="0" w:noVBand="1"/>
      </w:tblPr>
      <w:tblGrid>
        <w:gridCol w:w="9631"/>
      </w:tblGrid>
      <w:tr w:rsidR="00CD6407" w:rsidRPr="00B35BCA" w14:paraId="3D5A49C2" w14:textId="77777777" w:rsidTr="00DB6F0A">
        <w:tc>
          <w:tcPr>
            <w:tcW w:w="9631" w:type="dxa"/>
          </w:tcPr>
          <w:p w14:paraId="37999856" w14:textId="77777777" w:rsidR="00CD6407" w:rsidRPr="00B35BCA" w:rsidRDefault="00CD6407" w:rsidP="00596AB5">
            <w:pPr>
              <w:suppressAutoHyphens/>
              <w:wordWrap/>
              <w:spacing w:after="0"/>
              <w:rPr>
                <w:color w:val="000000"/>
                <w:lang w:eastAsia="x-none"/>
              </w:rPr>
            </w:pPr>
            <w:r w:rsidRPr="00B35BCA">
              <w:rPr>
                <w:color w:val="000000"/>
                <w:highlight w:val="green"/>
                <w:lang w:eastAsia="x-none"/>
              </w:rPr>
              <w:t>Agreement:</w:t>
            </w:r>
          </w:p>
          <w:p w14:paraId="64FC2607" w14:textId="091D1EA7" w:rsidR="00596AB5" w:rsidRPr="006E729D" w:rsidRDefault="00596AB5" w:rsidP="00596AB5">
            <w:pPr>
              <w:wordWrap/>
              <w:adjustRightInd w:val="0"/>
              <w:snapToGrid w:val="0"/>
              <w:spacing w:after="0"/>
              <w:jc w:val="both"/>
              <w:rPr>
                <w:bCs/>
              </w:rPr>
            </w:pPr>
            <w:r w:rsidRPr="00155F6D">
              <w:rPr>
                <w:bCs/>
              </w:rPr>
              <w:t xml:space="preserve">For DCI of PDSCH with feedback-disabled HARQ processes, only one of following is supported </w:t>
            </w:r>
            <w:r w:rsidRPr="006E729D">
              <w:rPr>
                <w:bCs/>
              </w:rPr>
              <w:t>for Type-2 codebook:</w:t>
            </w:r>
          </w:p>
          <w:p w14:paraId="384BD799" w14:textId="77777777" w:rsidR="00596AB5" w:rsidRPr="006E729D" w:rsidRDefault="00596AB5" w:rsidP="00596AB5">
            <w:pPr>
              <w:widowControl/>
              <w:numPr>
                <w:ilvl w:val="0"/>
                <w:numId w:val="24"/>
              </w:numPr>
              <w:wordWrap/>
              <w:autoSpaceDE/>
              <w:autoSpaceDN/>
              <w:adjustRightInd w:val="0"/>
              <w:snapToGrid w:val="0"/>
              <w:spacing w:after="0"/>
              <w:jc w:val="both"/>
              <w:rPr>
                <w:bCs/>
              </w:rPr>
            </w:pPr>
            <w:r w:rsidRPr="006E729D">
              <w:rPr>
                <w:bCs/>
              </w:rPr>
              <w:t xml:space="preserve">Option-1: </w:t>
            </w:r>
            <w:r>
              <w:rPr>
                <w:bCs/>
              </w:rPr>
              <w:t>T</w:t>
            </w:r>
            <w:r w:rsidRPr="006E729D">
              <w:rPr>
                <w:bCs/>
              </w:rPr>
              <w:t>he C-DAI and T-DAI are the count of feedback-enabled processes, despite they are not incremented, and are taken into account by the UE for type 2 codebook generation.</w:t>
            </w:r>
          </w:p>
          <w:p w14:paraId="71B1641B" w14:textId="7FC93550" w:rsidR="004D40E0" w:rsidRPr="00596AB5" w:rsidRDefault="00596AB5" w:rsidP="00D77C60">
            <w:pPr>
              <w:widowControl/>
              <w:numPr>
                <w:ilvl w:val="0"/>
                <w:numId w:val="24"/>
              </w:numPr>
              <w:wordWrap/>
              <w:autoSpaceDE/>
              <w:autoSpaceDN/>
              <w:adjustRightInd w:val="0"/>
              <w:snapToGrid w:val="0"/>
              <w:spacing w:after="120"/>
              <w:jc w:val="both"/>
              <w:rPr>
                <w:bCs/>
              </w:rPr>
            </w:pPr>
            <w:r w:rsidRPr="006E729D">
              <w:rPr>
                <w:bCs/>
              </w:rPr>
              <w:t xml:space="preserve">Option-2: The C-DAI and T-DAI are ignored by UE regardless of the value </w:t>
            </w:r>
            <w:r w:rsidRPr="006E729D">
              <w:t>for Type 2 codebook generation.</w:t>
            </w:r>
          </w:p>
        </w:tc>
      </w:tr>
    </w:tbl>
    <w:p w14:paraId="4BCC6B52" w14:textId="77777777" w:rsidR="00CD6407" w:rsidRPr="00B35BCA" w:rsidRDefault="00CD6407" w:rsidP="00CD6407">
      <w:pPr>
        <w:suppressAutoHyphens/>
        <w:wordWrap/>
        <w:jc w:val="both"/>
        <w:rPr>
          <w:rFonts w:eastAsia="Malgun Gothic"/>
        </w:rPr>
      </w:pPr>
    </w:p>
    <w:p w14:paraId="47657381" w14:textId="435D5541" w:rsidR="00596AB5" w:rsidRDefault="00596AB5" w:rsidP="000C7771">
      <w:pPr>
        <w:suppressAutoHyphens/>
        <w:wordWrap/>
        <w:jc w:val="both"/>
      </w:pPr>
      <w:r>
        <w:t>Option-2 is preferred and there is no need for any agreement</w:t>
      </w:r>
      <w:r w:rsidR="00AF414A">
        <w:t>.</w:t>
      </w:r>
      <w:r w:rsidR="00412EFC">
        <w:t xml:space="preserve"> </w:t>
      </w:r>
      <w:r>
        <w:t>The reason is that Option-1 has specification impact and requires changes in the UE/</w:t>
      </w:r>
      <w:proofErr w:type="spellStart"/>
      <w:r>
        <w:t>gNB</w:t>
      </w:r>
      <w:proofErr w:type="spellEnd"/>
      <w:r>
        <w:t xml:space="preserve"> implementation for the Type-2 HARQ-ACK codebook construction/reception without offering any benefit because (a) an NTN operation cannot rely on the conditions required by Option-1 to always occur and (b) an impact of Option-1 on DL throughput is practically zero as the probability of Option-1 offering any benefit is well below a typical BLER for the Type-2 HARQ-ACK codebook decoding. </w:t>
      </w:r>
    </w:p>
    <w:p w14:paraId="7F12625C" w14:textId="5D96E610" w:rsidR="00596AB5" w:rsidRDefault="00596AB5" w:rsidP="000C7771">
      <w:pPr>
        <w:suppressAutoHyphens/>
        <w:wordWrap/>
        <w:jc w:val="both"/>
      </w:pPr>
    </w:p>
    <w:p w14:paraId="0104CC9B" w14:textId="7569022F" w:rsidR="00B25BE7" w:rsidRDefault="00B25BE7" w:rsidP="000C7771">
      <w:pPr>
        <w:suppressAutoHyphens/>
        <w:wordWrap/>
        <w:jc w:val="both"/>
      </w:pPr>
      <w:r>
        <w:t>As an additional note, Rel-17 NT</w:t>
      </w:r>
      <w:r w:rsidR="00AF414A">
        <w:t>N is for single-cell operation (this also makes any discussion for T-DAI unnecessary) and</w:t>
      </w:r>
      <w:r>
        <w:t xml:space="preserve"> will use FDD </w:t>
      </w:r>
      <w:r w:rsidR="00AF414A">
        <w:t>(</w:t>
      </w:r>
      <w:r>
        <w:t>primarily the 2 GHz band</w:t>
      </w:r>
      <w:r w:rsidR="00AF414A">
        <w:t>)</w:t>
      </w:r>
      <w:r>
        <w:t>. Th</w:t>
      </w:r>
      <w:r w:rsidR="00AF414A">
        <w:t>at</w:t>
      </w:r>
      <w:r>
        <w:t xml:space="preserve"> also makes any optimization/modification </w:t>
      </w:r>
      <w:r w:rsidR="00AF414A">
        <w:t>to</w:t>
      </w:r>
      <w:r>
        <w:t xml:space="preserve"> HARQ-ACK codebooks unnecessary as there may be only coverage </w:t>
      </w:r>
      <w:r w:rsidR="00AF414A">
        <w:t>loss and latency increase</w:t>
      </w:r>
      <w:r>
        <w:t xml:space="preserve"> without any UE power savings if the UE re</w:t>
      </w:r>
      <w:r w:rsidR="00AF414A">
        <w:t>ports HARQ-ACK in a form of a codebook instead of individual HARQ-ACK bits because any coding gains from a codebook are zero or marginal when reporting few HARQ-ACK bits in a codebook vs. when reporting individual HARQ-ACK bits.</w:t>
      </w:r>
    </w:p>
    <w:p w14:paraId="60589DAD" w14:textId="232C74E9" w:rsidR="00093CF7" w:rsidRDefault="006B075D" w:rsidP="000C7771">
      <w:pPr>
        <w:suppressAutoHyphens/>
        <w:wordWrap/>
        <w:jc w:val="both"/>
      </w:pPr>
      <w:r>
        <w:t xml:space="preserve"> </w:t>
      </w:r>
      <w:r w:rsidR="00093CF7">
        <w:t xml:space="preserve"> </w:t>
      </w:r>
    </w:p>
    <w:p w14:paraId="364385C7" w14:textId="15F08C19" w:rsidR="006B075D" w:rsidRPr="00AF414A" w:rsidRDefault="006B075D" w:rsidP="006B075D">
      <w:pPr>
        <w:suppressAutoHyphens/>
        <w:wordWrap/>
        <w:jc w:val="both"/>
        <w:rPr>
          <w:rFonts w:eastAsia="Malgun Gothic"/>
          <w:i/>
          <w:iCs/>
          <w:u w:val="single"/>
        </w:rPr>
      </w:pPr>
      <w:r w:rsidRPr="00B35BCA">
        <w:rPr>
          <w:rFonts w:eastAsia="Malgun Gothic"/>
          <w:b/>
          <w:bCs/>
          <w:i/>
          <w:iCs/>
          <w:u w:val="single"/>
        </w:rPr>
        <w:t xml:space="preserve">Observation </w:t>
      </w:r>
      <w:r w:rsidR="00AF414A">
        <w:rPr>
          <w:rFonts w:eastAsia="Malgun Gothic"/>
          <w:b/>
          <w:bCs/>
          <w:i/>
          <w:iCs/>
          <w:u w:val="single"/>
        </w:rPr>
        <w:t>1</w:t>
      </w:r>
      <w:r w:rsidRPr="00B35BCA">
        <w:rPr>
          <w:rFonts w:eastAsia="Malgun Gothic"/>
          <w:i/>
          <w:iCs/>
          <w:u w:val="single"/>
        </w:rPr>
        <w:t xml:space="preserve">: </w:t>
      </w:r>
      <w:r w:rsidR="00AF414A">
        <w:rPr>
          <w:rFonts w:eastAsia="Malgun Gothic"/>
          <w:i/>
          <w:iCs/>
          <w:u w:val="single"/>
        </w:rPr>
        <w:t>For a DCI format scheduling a TB for a HARQ process with disabled HARQ-ACK, t</w:t>
      </w:r>
      <w:r>
        <w:rPr>
          <w:rFonts w:eastAsia="Malgun Gothic"/>
          <w:i/>
          <w:iCs/>
          <w:u w:val="single"/>
        </w:rPr>
        <w:t xml:space="preserve">here is no need </w:t>
      </w:r>
      <w:r w:rsidR="00AF414A">
        <w:rPr>
          <w:rFonts w:eastAsia="Malgun Gothic"/>
          <w:i/>
          <w:iCs/>
          <w:u w:val="single"/>
        </w:rPr>
        <w:t>for any agreement on the UE behavior for fields associated with HARQ-ACK codebook construction or PUCCH (Option-2)</w:t>
      </w:r>
      <w:r w:rsidRPr="00B35BCA">
        <w:rPr>
          <w:rFonts w:eastAsia="Malgun Gothic"/>
          <w:i/>
          <w:iCs/>
        </w:rPr>
        <w:t>.</w:t>
      </w:r>
    </w:p>
    <w:p w14:paraId="44E46A0F" w14:textId="77777777" w:rsidR="00C05506" w:rsidRDefault="00C05506" w:rsidP="00554A56">
      <w:pPr>
        <w:suppressAutoHyphens/>
        <w:wordWrap/>
        <w:jc w:val="both"/>
        <w:rPr>
          <w:bCs/>
        </w:rPr>
      </w:pPr>
    </w:p>
    <w:p w14:paraId="789724F3" w14:textId="15D55037" w:rsidR="00C05506" w:rsidRPr="00906B2F" w:rsidRDefault="00C05506" w:rsidP="00C05506">
      <w:pPr>
        <w:pStyle w:val="Heading2"/>
        <w:keepNext w:val="0"/>
        <w:keepLines w:val="0"/>
        <w:widowControl w:val="0"/>
        <w:suppressAutoHyphens/>
        <w:spacing w:before="0" w:after="120"/>
        <w:rPr>
          <w:sz w:val="28"/>
          <w:szCs w:val="18"/>
          <w:lang w:val="en-US"/>
        </w:rPr>
      </w:pPr>
      <w:r w:rsidRPr="00906B2F">
        <w:rPr>
          <w:sz w:val="28"/>
          <w:szCs w:val="18"/>
          <w:lang w:val="en-US"/>
        </w:rPr>
        <w:t>Type-</w:t>
      </w:r>
      <w:r>
        <w:rPr>
          <w:sz w:val="28"/>
          <w:szCs w:val="18"/>
          <w:lang w:val="en-US"/>
        </w:rPr>
        <w:t>3</w:t>
      </w:r>
      <w:r w:rsidRPr="00906B2F">
        <w:rPr>
          <w:sz w:val="28"/>
          <w:szCs w:val="18"/>
          <w:lang w:val="en-US"/>
        </w:rPr>
        <w:t xml:space="preserve"> HARQ-ACK codebook</w:t>
      </w:r>
    </w:p>
    <w:p w14:paraId="59716740" w14:textId="6073DDE6" w:rsidR="00C05506" w:rsidRDefault="00C05506" w:rsidP="00C05506">
      <w:pPr>
        <w:suppressAutoHyphens/>
        <w:wordWrap/>
        <w:jc w:val="both"/>
        <w:rPr>
          <w:rFonts w:eastAsia="Malgun Gothic"/>
        </w:rPr>
      </w:pPr>
      <w:r>
        <w:rPr>
          <w:rFonts w:eastAsia="Malgun Gothic"/>
        </w:rPr>
        <w:t xml:space="preserve">If any enhancements are pursued for the optional Type-3 HARQ-ACK CB, it should not include HARQ-ACK bits for HARQ processes with disabled HARQ-ACK reports – the reasons are same as for the Type-1 codebook (no reason to configure a Type-3 HARQ-ACK CB when also configuring HARQ processes with disabled, have same UE behavior as </w:t>
      </w:r>
      <w:r>
        <w:rPr>
          <w:rFonts w:eastAsia="Malgun Gothic"/>
        </w:rPr>
        <w:lastRenderedPageBreak/>
        <w:t>for the other HARQ-ACK CBs, facilitate HARQ buffer management at the UE).</w:t>
      </w:r>
    </w:p>
    <w:p w14:paraId="5814A375" w14:textId="2ACFB6B7" w:rsidR="00C05506" w:rsidRDefault="00C05506" w:rsidP="00C05506">
      <w:pPr>
        <w:suppressAutoHyphens/>
        <w:wordWrap/>
        <w:jc w:val="both"/>
        <w:rPr>
          <w:rFonts w:eastAsia="Malgun Gothic"/>
        </w:rPr>
      </w:pPr>
    </w:p>
    <w:p w14:paraId="6C6AC9E0" w14:textId="779A050B" w:rsidR="00C05506" w:rsidRPr="00F1276B" w:rsidRDefault="00C05506" w:rsidP="00C05506">
      <w:pPr>
        <w:suppressAutoHyphens/>
        <w:wordWrap/>
        <w:jc w:val="both"/>
        <w:rPr>
          <w:b/>
          <w:bCs/>
          <w:kern w:val="2"/>
          <w:u w:val="single"/>
          <w:lang w:eastAsia="ja-JP"/>
        </w:rPr>
      </w:pPr>
      <w:r w:rsidRPr="002170CF">
        <w:rPr>
          <w:b/>
          <w:bCs/>
          <w:kern w:val="2"/>
          <w:u w:val="single"/>
          <w:lang w:eastAsia="ja-JP"/>
        </w:rPr>
        <w:t xml:space="preserve">Proposal </w:t>
      </w:r>
      <w:r>
        <w:rPr>
          <w:b/>
          <w:bCs/>
          <w:kern w:val="2"/>
          <w:u w:val="single"/>
          <w:lang w:eastAsia="ja-JP"/>
        </w:rPr>
        <w:t>4</w:t>
      </w:r>
      <w:r w:rsidRPr="002170CF">
        <w:rPr>
          <w:b/>
          <w:bCs/>
          <w:kern w:val="2"/>
          <w:u w:val="single"/>
          <w:lang w:eastAsia="ja-JP"/>
        </w:rPr>
        <w:t>:</w:t>
      </w:r>
      <w:r>
        <w:rPr>
          <w:b/>
          <w:u w:val="single"/>
        </w:rPr>
        <w:t xml:space="preserve"> A Type-3 HARQ-ACK codebook does not include HARQ-ACK reports for HARQ processes with disabled HARQ-ACK reports. </w:t>
      </w:r>
    </w:p>
    <w:p w14:paraId="7DA163F1" w14:textId="77777777" w:rsidR="00C05506" w:rsidRPr="00CD6407" w:rsidRDefault="00C05506" w:rsidP="00C05506">
      <w:pPr>
        <w:suppressAutoHyphens/>
        <w:wordWrap/>
        <w:jc w:val="both"/>
        <w:rPr>
          <w:rFonts w:eastAsia="Malgun Gothic"/>
        </w:rPr>
      </w:pPr>
    </w:p>
    <w:p w14:paraId="36D5CF6D" w14:textId="77777777" w:rsidR="00A91F25" w:rsidRDefault="00A91F25" w:rsidP="00A91F25">
      <w:pPr>
        <w:suppressAutoHyphens/>
        <w:wordWrap/>
        <w:jc w:val="both"/>
      </w:pPr>
    </w:p>
    <w:p w14:paraId="438348E3" w14:textId="0C8477B5" w:rsidR="00A91F25" w:rsidRPr="00906B2F" w:rsidRDefault="00A91F25" w:rsidP="00A91F25">
      <w:pPr>
        <w:pStyle w:val="Heading2"/>
        <w:keepNext w:val="0"/>
        <w:keepLines w:val="0"/>
        <w:widowControl w:val="0"/>
        <w:suppressAutoHyphens/>
        <w:spacing w:before="0" w:after="120"/>
        <w:rPr>
          <w:sz w:val="28"/>
          <w:szCs w:val="18"/>
          <w:lang w:val="en-US"/>
        </w:rPr>
      </w:pPr>
      <w:r>
        <w:rPr>
          <w:sz w:val="28"/>
          <w:szCs w:val="18"/>
          <w:lang w:val="en-US"/>
        </w:rPr>
        <w:t>Out of Order Scheduling</w:t>
      </w:r>
    </w:p>
    <w:p w14:paraId="1E900076" w14:textId="2854AAA9" w:rsidR="00A91F25" w:rsidRPr="00CD6407" w:rsidRDefault="004C7E45" w:rsidP="00A91F25">
      <w:pPr>
        <w:suppressAutoHyphens/>
        <w:wordWrap/>
        <w:jc w:val="both"/>
        <w:rPr>
          <w:rFonts w:eastAsia="Malgun Gothic"/>
        </w:rPr>
      </w:pPr>
      <w:r>
        <w:rPr>
          <w:rFonts w:eastAsia="Malgun Gothic"/>
        </w:rPr>
        <w:t>In Rel-16, a</w:t>
      </w:r>
      <w:r w:rsidR="008B3AC8">
        <w:rPr>
          <w:rFonts w:eastAsia="Malgun Gothic"/>
        </w:rPr>
        <w:t xml:space="preserve"> UE does not expect to receive a first PDCCH indicating a </w:t>
      </w:r>
      <w:r>
        <w:rPr>
          <w:rFonts w:eastAsia="Malgun Gothic"/>
        </w:rPr>
        <w:t xml:space="preserve">first </w:t>
      </w:r>
      <w:r w:rsidR="008B3AC8">
        <w:rPr>
          <w:rFonts w:eastAsia="Malgun Gothic"/>
        </w:rPr>
        <w:t>PUCCH transmission with HARQ-ACK in a first slot</w:t>
      </w:r>
      <w:r>
        <w:rPr>
          <w:rFonts w:eastAsia="Malgun Gothic"/>
        </w:rPr>
        <w:t xml:space="preserve"> and a second PDCCH, after the first PDCCH, indicating a second PUCCH transmission with HARQ-ACK in a second slot that is before the first slot. The Rel-16 “out-of-order” scheduling does not apply when a PDCCH is associated with a HARQ process having disabled HARQ-ACK report as there is no indication of a PUCCH transmission with HARQ-ACK (if PUCCH is transmitted, it would be due to another PDCCH associated with a HARQ process with enabled HARQ-ACK report – that is the case for any HARQ-ACK CB type). Therefore, nothing needs to be specified for “out-of-order” scheduling with respect to PDCCHs associated with HARQ processes with disabled HARQ-ACK reports. </w:t>
      </w:r>
      <w:r w:rsidR="00891892">
        <w:rPr>
          <w:rFonts w:eastAsia="Malgun Gothic"/>
        </w:rPr>
        <w:t>Only t</w:t>
      </w:r>
      <w:r>
        <w:rPr>
          <w:rFonts w:eastAsia="Malgun Gothic"/>
        </w:rPr>
        <w:t xml:space="preserve">he PDSCH processing timeline constraint for </w:t>
      </w:r>
      <m:oMath>
        <m:sSub>
          <m:sSubPr>
            <m:ctrlPr>
              <w:rPr>
                <w:rFonts w:ascii="Cambria Math" w:eastAsia="Malgun Gothic" w:hAnsi="Cambria Math"/>
                <w:i/>
              </w:rPr>
            </m:ctrlPr>
          </m:sSubPr>
          <m:e>
            <m:r>
              <w:rPr>
                <w:rFonts w:ascii="Cambria Math" w:eastAsia="Malgun Gothic" w:hAnsi="Cambria Math"/>
              </w:rPr>
              <m:t>T</m:t>
            </m:r>
          </m:e>
          <m:sub>
            <m:r>
              <m:rPr>
                <m:sty m:val="p"/>
              </m:rPr>
              <w:rPr>
                <w:rFonts w:ascii="Cambria Math" w:eastAsia="Malgun Gothic" w:hAnsi="Cambria Math"/>
              </w:rPr>
              <m:t>proc,</m:t>
            </m:r>
            <m:r>
              <w:rPr>
                <w:rFonts w:ascii="Cambria Math" w:eastAsia="Malgun Gothic" w:hAnsi="Cambria Math"/>
              </w:rPr>
              <m:t>1</m:t>
            </m:r>
          </m:sub>
        </m:sSub>
      </m:oMath>
      <w:r w:rsidR="00891892">
        <w:rPr>
          <w:rFonts w:eastAsia="Malgun Gothic"/>
        </w:rPr>
        <w:t xml:space="preserve"> is necessary.</w:t>
      </w:r>
      <w:r>
        <w:rPr>
          <w:rFonts w:eastAsia="Malgun Gothic"/>
        </w:rPr>
        <w:t xml:space="preserve">  </w:t>
      </w:r>
    </w:p>
    <w:p w14:paraId="66637ADC" w14:textId="5323D3A9" w:rsidR="00A91F25" w:rsidRDefault="00A91F25" w:rsidP="00554A56">
      <w:pPr>
        <w:suppressAutoHyphens/>
        <w:wordWrap/>
        <w:jc w:val="both"/>
        <w:rPr>
          <w:bCs/>
        </w:rPr>
      </w:pPr>
    </w:p>
    <w:p w14:paraId="290DEC44" w14:textId="05AF9345" w:rsidR="00891892" w:rsidRPr="00AF414A" w:rsidRDefault="00891892" w:rsidP="00891892">
      <w:pPr>
        <w:suppressAutoHyphens/>
        <w:wordWrap/>
        <w:jc w:val="both"/>
        <w:rPr>
          <w:rFonts w:eastAsia="Malgun Gothic"/>
          <w:i/>
          <w:iCs/>
          <w:u w:val="single"/>
        </w:rPr>
      </w:pPr>
      <w:r w:rsidRPr="00B35BCA">
        <w:rPr>
          <w:rFonts w:eastAsia="Malgun Gothic"/>
          <w:b/>
          <w:bCs/>
          <w:i/>
          <w:iCs/>
          <w:u w:val="single"/>
        </w:rPr>
        <w:t xml:space="preserve">Observation </w:t>
      </w:r>
      <w:r>
        <w:rPr>
          <w:rFonts w:eastAsia="Malgun Gothic"/>
          <w:b/>
          <w:bCs/>
          <w:i/>
          <w:iCs/>
          <w:u w:val="single"/>
        </w:rPr>
        <w:t>2</w:t>
      </w:r>
      <w:r w:rsidRPr="00B35BCA">
        <w:rPr>
          <w:rFonts w:eastAsia="Malgun Gothic"/>
          <w:i/>
          <w:iCs/>
          <w:u w:val="single"/>
        </w:rPr>
        <w:t xml:space="preserve">: </w:t>
      </w:r>
      <w:r>
        <w:rPr>
          <w:rFonts w:eastAsia="Malgun Gothic"/>
          <w:i/>
          <w:iCs/>
          <w:u w:val="single"/>
        </w:rPr>
        <w:t>There is no need to consider any new support for “out of order” scheduling for PDCCH receptions associated with HARQ processes having disabled HARQ-ACK reports</w:t>
      </w:r>
      <w:r w:rsidRPr="00B35BCA">
        <w:rPr>
          <w:rFonts w:eastAsia="Malgun Gothic"/>
          <w:i/>
          <w:iCs/>
        </w:rPr>
        <w:t>.</w:t>
      </w:r>
    </w:p>
    <w:p w14:paraId="207BD210" w14:textId="49367738" w:rsidR="00891892" w:rsidRDefault="00891892" w:rsidP="00554A56">
      <w:pPr>
        <w:suppressAutoHyphens/>
        <w:wordWrap/>
        <w:jc w:val="both"/>
        <w:rPr>
          <w:bCs/>
        </w:rPr>
      </w:pPr>
    </w:p>
    <w:p w14:paraId="49887D27" w14:textId="42C07DFC" w:rsidR="00891892" w:rsidRDefault="00891892" w:rsidP="00554A56">
      <w:pPr>
        <w:suppressAutoHyphens/>
        <w:wordWrap/>
        <w:jc w:val="both"/>
        <w:rPr>
          <w:bCs/>
        </w:rPr>
      </w:pPr>
    </w:p>
    <w:p w14:paraId="7A86B900" w14:textId="5F24B251" w:rsidR="00821B06" w:rsidRPr="00906B2F" w:rsidRDefault="00821B06" w:rsidP="00821B06">
      <w:pPr>
        <w:pStyle w:val="Heading2"/>
        <w:keepNext w:val="0"/>
        <w:keepLines w:val="0"/>
        <w:widowControl w:val="0"/>
        <w:suppressAutoHyphens/>
        <w:spacing w:before="0" w:after="120"/>
        <w:rPr>
          <w:sz w:val="28"/>
          <w:szCs w:val="18"/>
          <w:lang w:val="en-US"/>
        </w:rPr>
      </w:pPr>
      <w:r>
        <w:rPr>
          <w:sz w:val="28"/>
          <w:szCs w:val="18"/>
          <w:lang w:val="en-US"/>
        </w:rPr>
        <w:t>SPS PDSCH</w:t>
      </w:r>
    </w:p>
    <w:p w14:paraId="6DADF79F" w14:textId="70D744B6" w:rsidR="00821B06" w:rsidRDefault="00821B06" w:rsidP="00554A56">
      <w:pPr>
        <w:suppressAutoHyphens/>
        <w:wordWrap/>
        <w:jc w:val="both"/>
        <w:rPr>
          <w:bCs/>
        </w:rPr>
      </w:pPr>
      <w:r>
        <w:rPr>
          <w:bCs/>
        </w:rPr>
        <w:t xml:space="preserve">For SPS PDSCH, the following proposal was discussed in RAN1#106-e without conclusion. It is noted that Option-2 is the current agreement. It was suggested that some may had understood that the agreement was </w:t>
      </w:r>
      <w:r w:rsidR="00025085">
        <w:rPr>
          <w:bCs/>
        </w:rPr>
        <w:t xml:space="preserve">applicable </w:t>
      </w:r>
      <w:r>
        <w:rPr>
          <w:bCs/>
        </w:rPr>
        <w:t xml:space="preserve">only for DG PDSCH (although there is nothing to suggest so). Even if that was the case, there is no reason to have different treatment of DG PDSCH and SPS PDSCH. For both DG PDSCH and SPS PDSCH (for a given configuration), the HARQ process used at a given slot can have either HARQ-ACK enabled or disabled. For the UE soft buffer management, the important aspect is </w:t>
      </w:r>
      <w:r w:rsidR="00025085">
        <w:rPr>
          <w:bCs/>
        </w:rPr>
        <w:t xml:space="preserve">whether a HARQ process has HARQ-ACK enabled or disabled. It would also be counterproductive to always have enabled HARQ-ACK or to have HARQ-ACK enabling/disabling per SPS configuration as that practically cancels possible benefits from having HARQ-ACK enabled/disabled per HARQ process for DG PDSCH. Similar, for HARQ-ACK reports for SPS PDSCH in HARQ-ACK codebooks (basically for the Type-2 one), the UE behavior should be same as for DG PDSCH and the UE reports HARQ-ACK only for HARQ processes with enabled HARQ-ACK. </w:t>
      </w:r>
    </w:p>
    <w:p w14:paraId="6811F7CE" w14:textId="77777777" w:rsidR="00821B06" w:rsidRDefault="00821B06" w:rsidP="00554A56">
      <w:pPr>
        <w:suppressAutoHyphens/>
        <w:wordWrap/>
        <w:jc w:val="both"/>
        <w:rPr>
          <w:bCs/>
        </w:rPr>
      </w:pPr>
    </w:p>
    <w:p w14:paraId="7BBB08B9" w14:textId="77777777" w:rsidR="00821B06" w:rsidRPr="009C6B69" w:rsidRDefault="00821B06" w:rsidP="00821B06">
      <w:pPr>
        <w:adjustRightInd w:val="0"/>
        <w:snapToGrid w:val="0"/>
        <w:rPr>
          <w:b/>
          <w:color w:val="000000" w:themeColor="text1"/>
          <w:highlight w:val="yellow"/>
        </w:rPr>
      </w:pPr>
      <w:r>
        <w:rPr>
          <w:b/>
          <w:color w:val="000000" w:themeColor="text1"/>
          <w:highlight w:val="yellow"/>
        </w:rPr>
        <w:t>[Updated Initial Proposal 2-5-a</w:t>
      </w:r>
      <w:r w:rsidRPr="009C6B69">
        <w:rPr>
          <w:b/>
          <w:color w:val="000000" w:themeColor="text1"/>
          <w:highlight w:val="yellow"/>
        </w:rPr>
        <w:t xml:space="preserve">] </w:t>
      </w:r>
    </w:p>
    <w:p w14:paraId="514A89BB" w14:textId="77777777" w:rsidR="00821B06" w:rsidRPr="00821B06" w:rsidRDefault="00821B06" w:rsidP="00821B06">
      <w:pPr>
        <w:adjustRightInd w:val="0"/>
        <w:snapToGrid w:val="0"/>
        <w:rPr>
          <w:color w:val="000000" w:themeColor="text1"/>
        </w:rPr>
      </w:pPr>
      <w:r w:rsidRPr="00821B06">
        <w:rPr>
          <w:color w:val="000000" w:themeColor="text1"/>
        </w:rPr>
        <w:t>For SPS PDSCH, one of following should be supported</w:t>
      </w:r>
      <w:r w:rsidRPr="00821B06">
        <w:rPr>
          <w:rFonts w:hint="eastAsia"/>
          <w:color w:val="000000" w:themeColor="text1"/>
        </w:rPr>
        <w:t>:</w:t>
      </w:r>
    </w:p>
    <w:p w14:paraId="3392B3C2" w14:textId="77777777" w:rsidR="00821B06" w:rsidRPr="00821B06" w:rsidRDefault="00821B06" w:rsidP="00821B06">
      <w:pPr>
        <w:widowControl/>
        <w:numPr>
          <w:ilvl w:val="0"/>
          <w:numId w:val="22"/>
        </w:numPr>
        <w:wordWrap/>
        <w:autoSpaceDE/>
        <w:autoSpaceDN/>
        <w:adjustRightInd w:val="0"/>
        <w:snapToGrid w:val="0"/>
        <w:rPr>
          <w:bCs/>
        </w:rPr>
      </w:pPr>
      <w:r w:rsidRPr="00821B06">
        <w:rPr>
          <w:bCs/>
        </w:rPr>
        <w:t>Option-1: All HARQ process associated to SPS PDSCH should be feedback-enabled</w:t>
      </w:r>
    </w:p>
    <w:p w14:paraId="1E06F7BD" w14:textId="77777777" w:rsidR="00821B06" w:rsidRPr="00821B06" w:rsidRDefault="00821B06" w:rsidP="00821B06">
      <w:pPr>
        <w:widowControl/>
        <w:numPr>
          <w:ilvl w:val="0"/>
          <w:numId w:val="22"/>
        </w:numPr>
        <w:wordWrap/>
        <w:autoSpaceDE/>
        <w:autoSpaceDN/>
        <w:adjustRightInd w:val="0"/>
        <w:snapToGrid w:val="0"/>
        <w:rPr>
          <w:bCs/>
        </w:rPr>
      </w:pPr>
      <w:r w:rsidRPr="00821B06">
        <w:rPr>
          <w:bCs/>
        </w:rPr>
        <w:t>Option-2: The feedback for the HARQ process associated to SPS PDSCH can be disabled by RRC configuration per HARQ process.</w:t>
      </w:r>
    </w:p>
    <w:p w14:paraId="0C5AD479" w14:textId="77777777" w:rsidR="00821B06" w:rsidRPr="00821B06" w:rsidRDefault="00821B06" w:rsidP="00821B06">
      <w:pPr>
        <w:widowControl/>
        <w:numPr>
          <w:ilvl w:val="0"/>
          <w:numId w:val="22"/>
        </w:numPr>
        <w:wordWrap/>
        <w:autoSpaceDE/>
        <w:autoSpaceDN/>
        <w:adjustRightInd w:val="0"/>
        <w:snapToGrid w:val="0"/>
        <w:rPr>
          <w:bCs/>
        </w:rPr>
      </w:pPr>
      <w:r w:rsidRPr="00821B06">
        <w:rPr>
          <w:bCs/>
        </w:rPr>
        <w:t>Option-3: The feedback for the HARQ process associated to SPS PDSCH can be disabled by RRC configuration per SPS configuration.</w:t>
      </w:r>
    </w:p>
    <w:p w14:paraId="7E722324" w14:textId="5A8AC10B" w:rsidR="00821B06" w:rsidRDefault="00821B06" w:rsidP="00554A56">
      <w:pPr>
        <w:suppressAutoHyphens/>
        <w:wordWrap/>
        <w:jc w:val="both"/>
        <w:rPr>
          <w:bCs/>
        </w:rPr>
      </w:pPr>
    </w:p>
    <w:p w14:paraId="181CB723" w14:textId="5A4A8703" w:rsidR="00025085" w:rsidRPr="00025085" w:rsidRDefault="00025085" w:rsidP="00554A56">
      <w:pPr>
        <w:suppressAutoHyphens/>
        <w:wordWrap/>
        <w:jc w:val="both"/>
        <w:rPr>
          <w:rFonts w:eastAsia="Malgun Gothic"/>
          <w:i/>
          <w:iCs/>
          <w:u w:val="single"/>
        </w:rPr>
      </w:pPr>
      <w:r w:rsidRPr="00B35BCA">
        <w:rPr>
          <w:rFonts w:eastAsia="Malgun Gothic"/>
          <w:b/>
          <w:bCs/>
          <w:i/>
          <w:iCs/>
          <w:u w:val="single"/>
        </w:rPr>
        <w:t xml:space="preserve">Observation </w:t>
      </w:r>
      <w:r>
        <w:rPr>
          <w:rFonts w:eastAsia="Malgun Gothic"/>
          <w:b/>
          <w:bCs/>
          <w:i/>
          <w:iCs/>
          <w:u w:val="single"/>
        </w:rPr>
        <w:t>3</w:t>
      </w:r>
      <w:r w:rsidRPr="00B35BCA">
        <w:rPr>
          <w:rFonts w:eastAsia="Malgun Gothic"/>
          <w:i/>
          <w:iCs/>
          <w:u w:val="single"/>
        </w:rPr>
        <w:t xml:space="preserve">: </w:t>
      </w:r>
      <w:r>
        <w:rPr>
          <w:rFonts w:eastAsia="Malgun Gothic"/>
          <w:i/>
          <w:iCs/>
          <w:u w:val="single"/>
        </w:rPr>
        <w:t>N</w:t>
      </w:r>
      <w:r w:rsidR="00433299">
        <w:rPr>
          <w:rFonts w:eastAsia="Malgun Gothic"/>
          <w:i/>
          <w:iCs/>
          <w:u w:val="single"/>
        </w:rPr>
        <w:t>o new</w:t>
      </w:r>
      <w:r>
        <w:rPr>
          <w:rFonts w:eastAsia="Malgun Gothic"/>
          <w:i/>
          <w:iCs/>
          <w:u w:val="single"/>
        </w:rPr>
        <w:t xml:space="preserve"> agreement is needed for HARQ processes with HARQ-ACK repo</w:t>
      </w:r>
      <w:r w:rsidR="00433299">
        <w:rPr>
          <w:rFonts w:eastAsia="Malgun Gothic"/>
          <w:i/>
          <w:iCs/>
          <w:u w:val="single"/>
        </w:rPr>
        <w:t>rts</w:t>
      </w:r>
      <w:r>
        <w:rPr>
          <w:rFonts w:eastAsia="Malgun Gothic"/>
          <w:i/>
          <w:iCs/>
          <w:u w:val="single"/>
        </w:rPr>
        <w:t xml:space="preserve"> for SPS PDSCH (Option-2). Same UE behavior applies for HARQ-ACK report</w:t>
      </w:r>
      <w:r w:rsidR="00433299">
        <w:rPr>
          <w:rFonts w:eastAsia="Malgun Gothic"/>
          <w:i/>
          <w:iCs/>
          <w:u w:val="single"/>
        </w:rPr>
        <w:t>s</w:t>
      </w:r>
      <w:r>
        <w:rPr>
          <w:rFonts w:eastAsia="Malgun Gothic"/>
          <w:i/>
          <w:iCs/>
          <w:u w:val="single"/>
        </w:rPr>
        <w:t xml:space="preserve"> for SPS PDSCH and for DG PDSCH in a HARQ-ACK codebook.  </w:t>
      </w:r>
    </w:p>
    <w:p w14:paraId="44D28C44" w14:textId="77777777" w:rsidR="00821B06" w:rsidRDefault="00821B06" w:rsidP="00554A56">
      <w:pPr>
        <w:suppressAutoHyphens/>
        <w:wordWrap/>
        <w:jc w:val="both"/>
        <w:rPr>
          <w:bCs/>
        </w:rPr>
      </w:pPr>
    </w:p>
    <w:p w14:paraId="44DC2B38" w14:textId="77777777" w:rsidR="00821B06" w:rsidRDefault="00821B06" w:rsidP="00554A56">
      <w:pPr>
        <w:suppressAutoHyphens/>
        <w:wordWrap/>
        <w:jc w:val="both"/>
        <w:rPr>
          <w:bCs/>
        </w:rPr>
      </w:pPr>
    </w:p>
    <w:p w14:paraId="5E3BAE57" w14:textId="25359426" w:rsidR="0057749E" w:rsidRPr="006259B8" w:rsidRDefault="0057749E" w:rsidP="0057749E">
      <w:pPr>
        <w:pStyle w:val="Heading1"/>
        <w:keepNext w:val="0"/>
        <w:keepLines w:val="0"/>
        <w:widowControl w:val="0"/>
        <w:suppressAutoHyphens/>
        <w:spacing w:before="0" w:after="120"/>
        <w:rPr>
          <w:lang w:val="en-US"/>
        </w:rPr>
      </w:pPr>
      <w:r>
        <w:rPr>
          <w:lang w:val="en-US"/>
        </w:rPr>
        <w:t>DCI formats</w:t>
      </w:r>
    </w:p>
    <w:p w14:paraId="35A035C6" w14:textId="140A7BD5" w:rsidR="0057749E" w:rsidRDefault="00F747D7" w:rsidP="00554A56">
      <w:pPr>
        <w:suppressAutoHyphens/>
        <w:wordWrap/>
        <w:jc w:val="both"/>
        <w:rPr>
          <w:bCs/>
        </w:rPr>
      </w:pPr>
      <w:r>
        <w:rPr>
          <w:bCs/>
        </w:rPr>
        <w:t>The following was agreed in RAN1#106 f</w:t>
      </w:r>
      <w:r w:rsidR="0057749E">
        <w:rPr>
          <w:bCs/>
        </w:rPr>
        <w:t xml:space="preserve">or HPN indication </w:t>
      </w:r>
      <w:r w:rsidR="00836C42">
        <w:rPr>
          <w:bCs/>
        </w:rPr>
        <w:t>when</w:t>
      </w:r>
      <w:r w:rsidR="0057749E">
        <w:rPr>
          <w:bCs/>
        </w:rPr>
        <w:t xml:space="preserve"> </w:t>
      </w:r>
      <w:r w:rsidR="00836C42">
        <w:rPr>
          <w:bCs/>
        </w:rPr>
        <w:t xml:space="preserve">a UE is configured </w:t>
      </w:r>
      <w:r w:rsidR="0057749E">
        <w:rPr>
          <w:bCs/>
        </w:rPr>
        <w:t xml:space="preserve">more than 16 HARQ processes </w:t>
      </w:r>
      <w:r w:rsidR="00836C42">
        <w:rPr>
          <w:bCs/>
        </w:rPr>
        <w:t>[1]</w:t>
      </w:r>
      <w:r w:rsidR="0057749E">
        <w:rPr>
          <w:bCs/>
        </w:rPr>
        <w:t xml:space="preserve">. </w:t>
      </w:r>
    </w:p>
    <w:p w14:paraId="72584E84" w14:textId="77777777" w:rsidR="0057749E" w:rsidRPr="00B35BCA" w:rsidRDefault="0057749E" w:rsidP="0057749E">
      <w:pPr>
        <w:suppressAutoHyphens/>
        <w:wordWrap/>
        <w:jc w:val="both"/>
        <w:rPr>
          <w:rFonts w:eastAsia="Malgun Gothic"/>
          <w:color w:val="000000"/>
        </w:rPr>
      </w:pPr>
    </w:p>
    <w:tbl>
      <w:tblPr>
        <w:tblStyle w:val="TableGrid"/>
        <w:tblW w:w="0" w:type="auto"/>
        <w:tblLook w:val="04A0" w:firstRow="1" w:lastRow="0" w:firstColumn="1" w:lastColumn="0" w:noHBand="0" w:noVBand="1"/>
      </w:tblPr>
      <w:tblGrid>
        <w:gridCol w:w="9631"/>
      </w:tblGrid>
      <w:tr w:rsidR="0057749E" w:rsidRPr="00B35BCA" w14:paraId="48B9FEE3" w14:textId="77777777" w:rsidTr="00DB6F0A">
        <w:tc>
          <w:tcPr>
            <w:tcW w:w="9631" w:type="dxa"/>
          </w:tcPr>
          <w:p w14:paraId="40C9091A" w14:textId="77777777" w:rsidR="0057749E" w:rsidRPr="00B35BCA" w:rsidRDefault="0057749E" w:rsidP="00836C42">
            <w:pPr>
              <w:suppressAutoHyphens/>
              <w:wordWrap/>
              <w:spacing w:after="0"/>
              <w:rPr>
                <w:color w:val="000000"/>
                <w:lang w:eastAsia="x-none"/>
              </w:rPr>
            </w:pPr>
            <w:r w:rsidRPr="00B35BCA">
              <w:rPr>
                <w:color w:val="000000"/>
                <w:highlight w:val="green"/>
                <w:lang w:eastAsia="x-none"/>
              </w:rPr>
              <w:t>Agreement:</w:t>
            </w:r>
          </w:p>
          <w:p w14:paraId="19A2D908" w14:textId="77777777" w:rsidR="00836C42" w:rsidRDefault="00836C42" w:rsidP="00836C42">
            <w:pPr>
              <w:wordWrap/>
              <w:spacing w:after="0"/>
              <w:rPr>
                <w:lang w:eastAsia="x-none"/>
              </w:rPr>
            </w:pPr>
            <w:r>
              <w:rPr>
                <w:lang w:eastAsia="x-none"/>
              </w:rPr>
              <w:t>For enhancement on the HARQ process indication, one of following options for DCI 0-0/1-0 can be considered:</w:t>
            </w:r>
          </w:p>
          <w:p w14:paraId="176CBE62" w14:textId="77777777" w:rsidR="00836C42" w:rsidRDefault="00836C42" w:rsidP="00836C42">
            <w:pPr>
              <w:widowControl/>
              <w:numPr>
                <w:ilvl w:val="0"/>
                <w:numId w:val="24"/>
              </w:numPr>
              <w:wordWrap/>
              <w:autoSpaceDE/>
              <w:autoSpaceDN/>
              <w:spacing w:after="0"/>
              <w:rPr>
                <w:lang w:eastAsia="x-none"/>
              </w:rPr>
            </w:pPr>
            <w:r>
              <w:rPr>
                <w:lang w:eastAsia="x-none"/>
              </w:rPr>
              <w:t>Option 2: Reusing one bit from other bit field</w:t>
            </w:r>
          </w:p>
          <w:p w14:paraId="326ADD56" w14:textId="7FC72269" w:rsidR="0057749E" w:rsidRPr="00836C42" w:rsidRDefault="00836C42" w:rsidP="00836C42">
            <w:pPr>
              <w:widowControl/>
              <w:numPr>
                <w:ilvl w:val="0"/>
                <w:numId w:val="24"/>
              </w:numPr>
              <w:wordWrap/>
              <w:autoSpaceDE/>
              <w:autoSpaceDN/>
              <w:spacing w:after="60"/>
              <w:rPr>
                <w:lang w:eastAsia="x-none"/>
              </w:rPr>
            </w:pPr>
            <w:r>
              <w:rPr>
                <w:lang w:eastAsia="x-none"/>
              </w:rPr>
              <w:t>Option 4: No enhancement</w:t>
            </w:r>
          </w:p>
        </w:tc>
      </w:tr>
    </w:tbl>
    <w:p w14:paraId="5F78058A" w14:textId="37750292" w:rsidR="0057749E" w:rsidRDefault="0057749E" w:rsidP="00554A56">
      <w:pPr>
        <w:suppressAutoHyphens/>
        <w:wordWrap/>
        <w:jc w:val="both"/>
        <w:rPr>
          <w:bCs/>
        </w:rPr>
      </w:pPr>
    </w:p>
    <w:p w14:paraId="1D9E3BAA" w14:textId="1F5B78D9" w:rsidR="00836C42" w:rsidRPr="0077210F" w:rsidRDefault="00836C42" w:rsidP="00836C42">
      <w:pPr>
        <w:wordWrap/>
        <w:jc w:val="both"/>
      </w:pPr>
      <w:r>
        <w:t xml:space="preserve">Option 4 is preferred as there is no reason why 16 HARQ processes are not (more than) sufficient for fallback operation associated with </w:t>
      </w:r>
      <w:r w:rsidRPr="00F1276B">
        <w:t>DCI formats 0_0/1_0</w:t>
      </w:r>
      <w:r>
        <w:t>.</w:t>
      </w:r>
    </w:p>
    <w:p w14:paraId="5A63A5D3" w14:textId="77777777" w:rsidR="00836C42" w:rsidRPr="0077210F" w:rsidRDefault="00836C42" w:rsidP="00836C42">
      <w:pPr>
        <w:wordWrap/>
        <w:jc w:val="both"/>
        <w:rPr>
          <w:b/>
          <w:bCs/>
          <w:kern w:val="2"/>
          <w:u w:val="single"/>
          <w:lang w:eastAsia="ja-JP"/>
        </w:rPr>
      </w:pPr>
    </w:p>
    <w:p w14:paraId="08FA2B7F" w14:textId="023C40E3" w:rsidR="00836C42" w:rsidRPr="00AF414A" w:rsidRDefault="00836C42" w:rsidP="00836C42">
      <w:pPr>
        <w:suppressAutoHyphens/>
        <w:wordWrap/>
        <w:jc w:val="both"/>
        <w:rPr>
          <w:rFonts w:eastAsia="Malgun Gothic"/>
          <w:i/>
          <w:iCs/>
          <w:u w:val="single"/>
        </w:rPr>
      </w:pPr>
      <w:r w:rsidRPr="00B35BCA">
        <w:rPr>
          <w:rFonts w:eastAsia="Malgun Gothic"/>
          <w:b/>
          <w:bCs/>
          <w:i/>
          <w:iCs/>
          <w:u w:val="single"/>
        </w:rPr>
        <w:t xml:space="preserve">Observation </w:t>
      </w:r>
      <w:r w:rsidR="00025085">
        <w:rPr>
          <w:rFonts w:eastAsia="Malgun Gothic"/>
          <w:b/>
          <w:bCs/>
          <w:i/>
          <w:iCs/>
          <w:u w:val="single"/>
        </w:rPr>
        <w:t>4</w:t>
      </w:r>
      <w:r w:rsidRPr="00B35BCA">
        <w:rPr>
          <w:rFonts w:eastAsia="Malgun Gothic"/>
          <w:i/>
          <w:iCs/>
          <w:u w:val="single"/>
        </w:rPr>
        <w:t xml:space="preserve">: </w:t>
      </w:r>
      <w:r>
        <w:rPr>
          <w:rFonts w:eastAsia="Malgun Gothic"/>
          <w:i/>
          <w:iCs/>
          <w:u w:val="single"/>
        </w:rPr>
        <w:t>There is no need to support more than 16 HARQ processes by DCI formats 0_0/1_0 (“Option 4”)</w:t>
      </w:r>
      <w:r w:rsidRPr="00B35BCA">
        <w:rPr>
          <w:rFonts w:eastAsia="Malgun Gothic"/>
          <w:i/>
          <w:iCs/>
        </w:rPr>
        <w:t>.</w:t>
      </w:r>
    </w:p>
    <w:p w14:paraId="46B26B1E" w14:textId="77777777" w:rsidR="00A312FC" w:rsidRPr="00554A56" w:rsidRDefault="00A312FC" w:rsidP="00554A56">
      <w:pPr>
        <w:suppressAutoHyphens/>
        <w:wordWrap/>
        <w:jc w:val="both"/>
        <w:rPr>
          <w:bCs/>
        </w:rPr>
      </w:pPr>
    </w:p>
    <w:p w14:paraId="3A716537" w14:textId="65C01A85" w:rsidR="00ED0C88" w:rsidRDefault="00A312FC" w:rsidP="00A312FC">
      <w:pPr>
        <w:wordWrap/>
        <w:jc w:val="both"/>
        <w:rPr>
          <w:bCs/>
        </w:rPr>
      </w:pPr>
      <w:r>
        <w:rPr>
          <w:bCs/>
        </w:rPr>
        <w:t xml:space="preserve">One other issue is whether to keep redundant fields in a DCI format 1_1 associated with a HARQ process with disabled </w:t>
      </w:r>
      <w:r>
        <w:rPr>
          <w:bCs/>
        </w:rPr>
        <w:lastRenderedPageBreak/>
        <w:t xml:space="preserve">HARQ-ACK. </w:t>
      </w:r>
      <w:r w:rsidR="00ED0C88">
        <w:rPr>
          <w:bCs/>
        </w:rPr>
        <w:t>Redundant fields are the ones associated with PUCCH transmission or with Type-2 HARQ-ACK codebook determination and include the PRI, PUSCH-to-</w:t>
      </w:r>
      <w:proofErr w:type="spellStart"/>
      <w:r w:rsidR="00ED0C88">
        <w:rPr>
          <w:bCs/>
        </w:rPr>
        <w:t>HARQ_feedback</w:t>
      </w:r>
      <w:proofErr w:type="spellEnd"/>
      <w:r w:rsidR="00ED0C88">
        <w:rPr>
          <w:bCs/>
        </w:rPr>
        <w:t xml:space="preserve"> timing, </w:t>
      </w:r>
      <w:r w:rsidR="00747AE0">
        <w:rPr>
          <w:bCs/>
        </w:rPr>
        <w:t xml:space="preserve">and </w:t>
      </w:r>
      <w:r w:rsidR="00ED0C88">
        <w:rPr>
          <w:bCs/>
        </w:rPr>
        <w:t>counter DAI (for Type-2 HARQ-ACK CB)</w:t>
      </w:r>
      <w:r w:rsidR="00747AE0">
        <w:rPr>
          <w:bCs/>
        </w:rPr>
        <w:t xml:space="preserve"> fields</w:t>
      </w:r>
      <w:r w:rsidR="00ED0C88">
        <w:rPr>
          <w:bCs/>
        </w:rPr>
        <w:t xml:space="preserve"> for a total of </w:t>
      </w:r>
      <w:r w:rsidR="00747AE0">
        <w:rPr>
          <w:bCs/>
        </w:rPr>
        <w:t>6</w:t>
      </w:r>
      <w:r w:rsidR="00ED0C88">
        <w:rPr>
          <w:bCs/>
        </w:rPr>
        <w:t>-</w:t>
      </w:r>
      <w:r w:rsidR="00747AE0">
        <w:rPr>
          <w:bCs/>
        </w:rPr>
        <w:t>8</w:t>
      </w:r>
      <w:r w:rsidR="00ED0C88">
        <w:rPr>
          <w:bCs/>
        </w:rPr>
        <w:t xml:space="preserve"> bits. </w:t>
      </w:r>
      <w:r w:rsidR="00747AE0">
        <w:rPr>
          <w:bCs/>
        </w:rPr>
        <w:t xml:space="preserve">The TPC command field is also unnecessary but it can be kept to avoid unnecessary padding bits in DCI format 1_1 </w:t>
      </w:r>
      <w:r w:rsidR="008078EC">
        <w:rPr>
          <w:bCs/>
        </w:rPr>
        <w:t>(</w:t>
      </w:r>
      <w:r w:rsidR="00747AE0">
        <w:rPr>
          <w:bCs/>
        </w:rPr>
        <w:t xml:space="preserve">as </w:t>
      </w:r>
      <w:r w:rsidR="008078EC">
        <w:rPr>
          <w:bCs/>
        </w:rPr>
        <w:t>is next</w:t>
      </w:r>
      <w:r w:rsidR="00747AE0">
        <w:rPr>
          <w:bCs/>
        </w:rPr>
        <w:t xml:space="preserve"> shown</w:t>
      </w:r>
      <w:r w:rsidR="008078EC">
        <w:rPr>
          <w:bCs/>
        </w:rPr>
        <w:t>)</w:t>
      </w:r>
      <w:r w:rsidR="00747AE0">
        <w:rPr>
          <w:bCs/>
        </w:rPr>
        <w:t xml:space="preserve">. </w:t>
      </w:r>
      <w:r w:rsidR="00ED0C88">
        <w:rPr>
          <w:bCs/>
        </w:rPr>
        <w:t xml:space="preserve">For example, if all HARQ processes are configured without HARQ-ACK reports, it is pointless to keep </w:t>
      </w:r>
      <w:r w:rsidR="00747AE0">
        <w:rPr>
          <w:bCs/>
        </w:rPr>
        <w:t>fields in DCI format 1_1 that are</w:t>
      </w:r>
      <w:r w:rsidR="00ED0C88">
        <w:rPr>
          <w:bCs/>
        </w:rPr>
        <w:t xml:space="preserve"> associated with HARQ-ACK report</w:t>
      </w:r>
      <w:r w:rsidR="00747AE0">
        <w:rPr>
          <w:bCs/>
        </w:rPr>
        <w:t>s</w:t>
      </w:r>
      <w:r w:rsidR="00ED0C88">
        <w:rPr>
          <w:bCs/>
        </w:rPr>
        <w:t>. The benefit in DCI overhead savings gradually decreases as the number of HARQ processes with disabled HARQ-ACK reports increases.</w:t>
      </w:r>
    </w:p>
    <w:p w14:paraId="101C52FA" w14:textId="77777777" w:rsidR="00ED0C88" w:rsidRDefault="00ED0C88" w:rsidP="00A312FC">
      <w:pPr>
        <w:wordWrap/>
        <w:jc w:val="both"/>
        <w:rPr>
          <w:bCs/>
        </w:rPr>
      </w:pPr>
    </w:p>
    <w:p w14:paraId="65363C9E" w14:textId="5B524910" w:rsidR="00ED0C88" w:rsidRDefault="00A312FC" w:rsidP="00A312FC">
      <w:pPr>
        <w:wordWrap/>
        <w:jc w:val="both"/>
        <w:rPr>
          <w:bCs/>
        </w:rPr>
      </w:pPr>
      <w:r>
        <w:rPr>
          <w:bCs/>
        </w:rPr>
        <w:t xml:space="preserve">Considering the NTN is unlikely to support 2 TBs in a PDSCH, DCI format 1_1 with size reduced by </w:t>
      </w:r>
      <w:r w:rsidR="003C1E31">
        <w:rPr>
          <w:bCs/>
        </w:rPr>
        <w:t>6</w:t>
      </w:r>
      <w:r w:rsidR="00F747D7">
        <w:rPr>
          <w:bCs/>
        </w:rPr>
        <w:t>-</w:t>
      </w:r>
      <w:r w:rsidR="003C1E31">
        <w:rPr>
          <w:bCs/>
        </w:rPr>
        <w:t>8</w:t>
      </w:r>
      <w:r>
        <w:rPr>
          <w:bCs/>
        </w:rPr>
        <w:t xml:space="preserve"> bits has s</w:t>
      </w:r>
      <w:r w:rsidR="00ED0C88">
        <w:rPr>
          <w:bCs/>
        </w:rPr>
        <w:t>maller</w:t>
      </w:r>
      <w:r>
        <w:rPr>
          <w:bCs/>
        </w:rPr>
        <w:t xml:space="preserve"> size </w:t>
      </w:r>
      <w:r w:rsidR="00ED0C88">
        <w:rPr>
          <w:bCs/>
        </w:rPr>
        <w:t>than</w:t>
      </w:r>
      <w:r>
        <w:rPr>
          <w:bCs/>
        </w:rPr>
        <w:t xml:space="preserve"> DCI format 0_1</w:t>
      </w:r>
      <w:r w:rsidR="00ED0C88">
        <w:rPr>
          <w:bCs/>
        </w:rPr>
        <w:t xml:space="preserve"> by </w:t>
      </w:r>
      <w:r w:rsidR="003C1E31">
        <w:rPr>
          <w:bCs/>
        </w:rPr>
        <w:t>1</w:t>
      </w:r>
      <w:r w:rsidR="00ED0C88">
        <w:rPr>
          <w:bCs/>
        </w:rPr>
        <w:t>-</w:t>
      </w:r>
      <w:r w:rsidR="003C1E31">
        <w:rPr>
          <w:bCs/>
        </w:rPr>
        <w:t>2</w:t>
      </w:r>
      <w:r w:rsidR="00ED0C88">
        <w:rPr>
          <w:bCs/>
        </w:rPr>
        <w:t xml:space="preserve"> bits leading to an overhead reduction of </w:t>
      </w:r>
      <w:r w:rsidR="00471222">
        <w:rPr>
          <w:bCs/>
        </w:rPr>
        <w:t>5-6</w:t>
      </w:r>
      <w:r w:rsidR="00ED0C88">
        <w:rPr>
          <w:bCs/>
        </w:rPr>
        <w:t xml:space="preserve"> bits or ~</w:t>
      </w:r>
      <w:r w:rsidR="00C17CE8">
        <w:rPr>
          <w:bCs/>
        </w:rPr>
        <w:t>8</w:t>
      </w:r>
      <w:r w:rsidR="00635926">
        <w:rPr>
          <w:bCs/>
        </w:rPr>
        <w:t>%-</w:t>
      </w:r>
      <w:r w:rsidR="00C17CE8">
        <w:rPr>
          <w:bCs/>
        </w:rPr>
        <w:t>9</w:t>
      </w:r>
      <w:r w:rsidR="00ED0C88">
        <w:rPr>
          <w:bCs/>
        </w:rPr>
        <w:t>%</w:t>
      </w:r>
      <w:r w:rsidR="00471222">
        <w:rPr>
          <w:bCs/>
        </w:rPr>
        <w:t xml:space="preserve">, resulting to </w:t>
      </w:r>
      <w:r w:rsidR="00C17CE8">
        <w:rPr>
          <w:bCs/>
        </w:rPr>
        <w:t>~</w:t>
      </w:r>
      <w:r w:rsidR="00471222">
        <w:rPr>
          <w:bCs/>
        </w:rPr>
        <w:t xml:space="preserve">0.4/0.3/0.3 dB in BLER/coverage gain for AL of 2/4/8 CCEs [2] </w:t>
      </w:r>
      <w:r w:rsidR="00ED0C88">
        <w:rPr>
          <w:bCs/>
        </w:rPr>
        <w:t xml:space="preserve">when DCI format 1_1 is size matched </w:t>
      </w:r>
      <w:r w:rsidR="00747AE0">
        <w:rPr>
          <w:bCs/>
        </w:rPr>
        <w:t>to</w:t>
      </w:r>
      <w:r w:rsidR="00ED0C88">
        <w:rPr>
          <w:bCs/>
        </w:rPr>
        <w:t xml:space="preserve"> DCI format 0_1</w:t>
      </w:r>
      <w:r w:rsidR="005069EE">
        <w:rPr>
          <w:bCs/>
        </w:rPr>
        <w:t xml:space="preserve">. </w:t>
      </w:r>
      <w:r w:rsidR="00ED0C88">
        <w:rPr>
          <w:bCs/>
        </w:rPr>
        <w:t>Table 1</w:t>
      </w:r>
      <w:r w:rsidR="005069EE">
        <w:rPr>
          <w:bCs/>
        </w:rPr>
        <w:t xml:space="preserve"> summarize</w:t>
      </w:r>
      <w:r w:rsidR="00ED0C88">
        <w:rPr>
          <w:bCs/>
        </w:rPr>
        <w:t xml:space="preserve">s the mandatory fields in DCI format 0_1 and DCI format 1_1 for a HARQ process with disabled HARQ-ACK report when redundant fields are removed </w:t>
      </w:r>
      <w:r w:rsidR="005069EE">
        <w:rPr>
          <w:bCs/>
        </w:rPr>
        <w:t xml:space="preserve">(a BW of 20 MHz and 15 kHz </w:t>
      </w:r>
      <w:r w:rsidR="00ED0C88">
        <w:rPr>
          <w:bCs/>
        </w:rPr>
        <w:t xml:space="preserve">SCS </w:t>
      </w:r>
      <w:r w:rsidR="005069EE">
        <w:rPr>
          <w:bCs/>
        </w:rPr>
        <w:t xml:space="preserve">for operation at 2 GHz </w:t>
      </w:r>
      <w:r w:rsidR="00ED0C88">
        <w:rPr>
          <w:bCs/>
        </w:rPr>
        <w:t xml:space="preserve">are assumed </w:t>
      </w:r>
      <w:r w:rsidR="005069EE">
        <w:rPr>
          <w:bCs/>
        </w:rPr>
        <w:t>although that does not affect conclusions)</w:t>
      </w:r>
      <w:r>
        <w:rPr>
          <w:bCs/>
        </w:rPr>
        <w:t xml:space="preserve">. </w:t>
      </w:r>
      <w:r w:rsidR="00ED0C88">
        <w:rPr>
          <w:bCs/>
        </w:rPr>
        <w:t xml:space="preserve">It is noted that there is no </w:t>
      </w:r>
      <w:r w:rsidR="003C1E31">
        <w:rPr>
          <w:bCs/>
        </w:rPr>
        <w:t xml:space="preserve">DCI format </w:t>
      </w:r>
      <w:r w:rsidR="00ED0C88">
        <w:rPr>
          <w:bCs/>
        </w:rPr>
        <w:t>ambiguity as a</w:t>
      </w:r>
      <w:r w:rsidR="00635926">
        <w:rPr>
          <w:bCs/>
        </w:rPr>
        <w:t>n identifier</w:t>
      </w:r>
      <w:r w:rsidR="00ED0C88">
        <w:rPr>
          <w:bCs/>
        </w:rPr>
        <w:t xml:space="preserve"> flag exists. Also, there is no increase in the number of </w:t>
      </w:r>
      <w:r w:rsidR="00635926">
        <w:rPr>
          <w:bCs/>
        </w:rPr>
        <w:t xml:space="preserve">PDCCH </w:t>
      </w:r>
      <w:r w:rsidR="00ED0C88">
        <w:rPr>
          <w:bCs/>
        </w:rPr>
        <w:t>blind decoding operations as DCI formats 0_1/1_1 are always in a same search space set</w:t>
      </w:r>
      <w:r w:rsidR="00635926">
        <w:rPr>
          <w:bCs/>
        </w:rPr>
        <w:t xml:space="preserve"> (and, anyway, DCI format 1_1 for a HARQ process with disabled HARQ-ACK is size-matched to DCI format 1_0)</w:t>
      </w:r>
      <w:r w:rsidR="00ED0C88">
        <w:rPr>
          <w:bCs/>
        </w:rPr>
        <w:t xml:space="preserve">. Basically, </w:t>
      </w:r>
      <w:r w:rsidR="003C1E31">
        <w:rPr>
          <w:bCs/>
        </w:rPr>
        <w:t>5</w:t>
      </w:r>
      <w:r w:rsidR="00ED0C88">
        <w:rPr>
          <w:bCs/>
        </w:rPr>
        <w:t>-</w:t>
      </w:r>
      <w:r w:rsidR="003C1E31">
        <w:rPr>
          <w:bCs/>
        </w:rPr>
        <w:t>6</w:t>
      </w:r>
      <w:r w:rsidR="00ED0C88">
        <w:rPr>
          <w:bCs/>
        </w:rPr>
        <w:t xml:space="preserve"> bits can be saved from DCI format 1_1 without any problem by not including bits that have no purpose when HARQ-ACK is disabled. </w:t>
      </w:r>
    </w:p>
    <w:p w14:paraId="5292C4A7" w14:textId="0E502E65" w:rsidR="00A312FC" w:rsidRDefault="00A312FC" w:rsidP="00A312FC">
      <w:pPr>
        <w:wordWrap/>
        <w:jc w:val="both"/>
        <w:rPr>
          <w:bCs/>
        </w:rPr>
      </w:pPr>
    </w:p>
    <w:p w14:paraId="7C60701A" w14:textId="65E7E6B0" w:rsidR="00575B82" w:rsidRPr="00AD2085" w:rsidRDefault="00575B82" w:rsidP="00ED0C88">
      <w:pPr>
        <w:spacing w:after="60"/>
        <w:jc w:val="both"/>
        <w:rPr>
          <w:b/>
        </w:rPr>
      </w:pPr>
      <w:r w:rsidRPr="00AD2085">
        <w:rPr>
          <w:b/>
        </w:rPr>
        <w:t>Table</w:t>
      </w:r>
      <w:r>
        <w:rPr>
          <w:b/>
        </w:rPr>
        <w:t xml:space="preserve"> </w:t>
      </w:r>
      <w:r w:rsidRPr="00AD2085">
        <w:rPr>
          <w:b/>
        </w:rPr>
        <w:t xml:space="preserve">1: </w:t>
      </w:r>
      <w:r w:rsidR="005069EE">
        <w:rPr>
          <w:b/>
        </w:rPr>
        <w:t>Mandatory f</w:t>
      </w:r>
      <w:r>
        <w:rPr>
          <w:b/>
        </w:rPr>
        <w:t>ield</w:t>
      </w:r>
      <w:r w:rsidR="005069EE">
        <w:rPr>
          <w:b/>
        </w:rPr>
        <w:t>s</w:t>
      </w:r>
      <w:r>
        <w:rPr>
          <w:b/>
        </w:rPr>
        <w:t xml:space="preserve"> for </w:t>
      </w:r>
      <w:r w:rsidRPr="00AD2085">
        <w:rPr>
          <w:b/>
        </w:rPr>
        <w:t xml:space="preserve">DCI </w:t>
      </w:r>
      <w:r>
        <w:rPr>
          <w:b/>
        </w:rPr>
        <w:t>format 0_1 and DCI format 1_1 for HARQ process with disabled HARQ-ACK</w:t>
      </w:r>
    </w:p>
    <w:tbl>
      <w:tblPr>
        <w:tblW w:w="7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7"/>
        <w:gridCol w:w="1638"/>
        <w:gridCol w:w="1620"/>
      </w:tblGrid>
      <w:tr w:rsidR="005069EE" w:rsidRPr="00BA457C" w14:paraId="6061D9FD" w14:textId="77777777" w:rsidTr="005069EE">
        <w:trPr>
          <w:trHeight w:val="255"/>
          <w:jc w:val="center"/>
        </w:trPr>
        <w:tc>
          <w:tcPr>
            <w:tcW w:w="3847" w:type="dxa"/>
            <w:shd w:val="clear" w:color="auto" w:fill="auto"/>
            <w:noWrap/>
            <w:hideMark/>
          </w:tcPr>
          <w:p w14:paraId="1AB986F7" w14:textId="77777777" w:rsidR="00575B82" w:rsidRPr="00EA6BB9" w:rsidRDefault="00575B82" w:rsidP="00DB6F0A">
            <w:pPr>
              <w:rPr>
                <w:b/>
                <w:bCs/>
              </w:rPr>
            </w:pPr>
            <w:r w:rsidRPr="00EA6BB9">
              <w:rPr>
                <w:b/>
                <w:bCs/>
              </w:rPr>
              <w:t>Fields</w:t>
            </w:r>
          </w:p>
        </w:tc>
        <w:tc>
          <w:tcPr>
            <w:tcW w:w="1638" w:type="dxa"/>
            <w:shd w:val="clear" w:color="auto" w:fill="auto"/>
            <w:noWrap/>
            <w:hideMark/>
          </w:tcPr>
          <w:p w14:paraId="5A7B6C66" w14:textId="26CB51CC" w:rsidR="00575B82" w:rsidRPr="00EA6BB9" w:rsidRDefault="00575B82" w:rsidP="00DB6F0A">
            <w:pPr>
              <w:rPr>
                <w:b/>
                <w:bCs/>
              </w:rPr>
            </w:pPr>
            <w:r>
              <w:rPr>
                <w:b/>
                <w:bCs/>
              </w:rPr>
              <w:t>DCI format 0_1</w:t>
            </w:r>
          </w:p>
        </w:tc>
        <w:tc>
          <w:tcPr>
            <w:tcW w:w="1620" w:type="dxa"/>
            <w:shd w:val="clear" w:color="auto" w:fill="auto"/>
            <w:noWrap/>
            <w:hideMark/>
          </w:tcPr>
          <w:p w14:paraId="4BFA6783" w14:textId="556B7331" w:rsidR="00575B82" w:rsidRPr="00EA6BB9" w:rsidRDefault="00575B82" w:rsidP="00DB6F0A">
            <w:pPr>
              <w:rPr>
                <w:b/>
                <w:bCs/>
              </w:rPr>
            </w:pPr>
            <w:r>
              <w:rPr>
                <w:b/>
                <w:bCs/>
              </w:rPr>
              <w:t>DCI format 1_1</w:t>
            </w:r>
          </w:p>
        </w:tc>
      </w:tr>
      <w:tr w:rsidR="005069EE" w:rsidRPr="00AD2085" w14:paraId="3C6C0940" w14:textId="77777777" w:rsidTr="005069EE">
        <w:trPr>
          <w:trHeight w:val="255"/>
          <w:jc w:val="center"/>
        </w:trPr>
        <w:tc>
          <w:tcPr>
            <w:tcW w:w="3847" w:type="dxa"/>
            <w:shd w:val="clear" w:color="auto" w:fill="auto"/>
            <w:noWrap/>
            <w:hideMark/>
          </w:tcPr>
          <w:p w14:paraId="24F4B11A" w14:textId="011E6E8E" w:rsidR="00575B82" w:rsidRPr="00AD2085" w:rsidRDefault="00575B82" w:rsidP="00DB6F0A">
            <w:r w:rsidRPr="00AD2085">
              <w:t>Identifier for DCI format</w:t>
            </w:r>
          </w:p>
        </w:tc>
        <w:tc>
          <w:tcPr>
            <w:tcW w:w="1638" w:type="dxa"/>
            <w:shd w:val="clear" w:color="auto" w:fill="auto"/>
            <w:noWrap/>
            <w:hideMark/>
          </w:tcPr>
          <w:p w14:paraId="5A3B0564" w14:textId="77777777" w:rsidR="00575B82" w:rsidRPr="00BA457C" w:rsidRDefault="00575B82" w:rsidP="00575B82">
            <w:pPr>
              <w:jc w:val="center"/>
            </w:pPr>
            <w:r>
              <w:t>1</w:t>
            </w:r>
          </w:p>
        </w:tc>
        <w:tc>
          <w:tcPr>
            <w:tcW w:w="1620" w:type="dxa"/>
            <w:shd w:val="clear" w:color="auto" w:fill="auto"/>
            <w:noWrap/>
            <w:hideMark/>
          </w:tcPr>
          <w:p w14:paraId="254AAA17" w14:textId="616AD7C7" w:rsidR="00575B82" w:rsidRPr="00AD2085" w:rsidRDefault="00575B82" w:rsidP="00575B82">
            <w:pPr>
              <w:jc w:val="center"/>
            </w:pPr>
            <w:r>
              <w:t>1</w:t>
            </w:r>
          </w:p>
        </w:tc>
      </w:tr>
      <w:tr w:rsidR="005069EE" w:rsidRPr="00AD2085" w14:paraId="480A7D2A" w14:textId="77777777" w:rsidTr="005069EE">
        <w:trPr>
          <w:trHeight w:val="255"/>
          <w:jc w:val="center"/>
        </w:trPr>
        <w:tc>
          <w:tcPr>
            <w:tcW w:w="3847" w:type="dxa"/>
            <w:shd w:val="clear" w:color="auto" w:fill="auto"/>
            <w:noWrap/>
            <w:hideMark/>
          </w:tcPr>
          <w:p w14:paraId="17ABAE60" w14:textId="3BFA2BC4" w:rsidR="00575B82" w:rsidRPr="00BA457C" w:rsidRDefault="00575B82" w:rsidP="00DB6F0A">
            <w:r>
              <w:t>FDRA</w:t>
            </w:r>
          </w:p>
        </w:tc>
        <w:tc>
          <w:tcPr>
            <w:tcW w:w="1638" w:type="dxa"/>
            <w:shd w:val="clear" w:color="auto" w:fill="auto"/>
            <w:noWrap/>
            <w:hideMark/>
          </w:tcPr>
          <w:p w14:paraId="304D4F59" w14:textId="480F48B1" w:rsidR="00575B82" w:rsidRPr="00BA457C" w:rsidRDefault="00575B82" w:rsidP="00575B82">
            <w:pPr>
              <w:jc w:val="center"/>
            </w:pPr>
            <w:r>
              <w:t>14</w:t>
            </w:r>
          </w:p>
        </w:tc>
        <w:tc>
          <w:tcPr>
            <w:tcW w:w="1620" w:type="dxa"/>
            <w:shd w:val="clear" w:color="auto" w:fill="auto"/>
            <w:noWrap/>
            <w:hideMark/>
          </w:tcPr>
          <w:p w14:paraId="20E9E532" w14:textId="01EB4BC4" w:rsidR="00575B82" w:rsidRPr="00EA6BB9" w:rsidRDefault="00575B82" w:rsidP="00575B82">
            <w:pPr>
              <w:pStyle w:val="CommentText"/>
              <w:jc w:val="center"/>
              <w:rPr>
                <w:rFonts w:ascii="Times New Roman" w:hAnsi="Times New Roman"/>
                <w:sz w:val="20"/>
                <w:lang w:val="en-US"/>
              </w:rPr>
            </w:pPr>
            <w:r>
              <w:rPr>
                <w:rFonts w:ascii="Times New Roman" w:hAnsi="Times New Roman"/>
                <w:sz w:val="20"/>
                <w:lang w:val="en-US"/>
              </w:rPr>
              <w:t>14</w:t>
            </w:r>
          </w:p>
        </w:tc>
      </w:tr>
      <w:tr w:rsidR="005069EE" w:rsidRPr="00557CCF" w14:paraId="4F68A336" w14:textId="77777777" w:rsidTr="005069EE">
        <w:trPr>
          <w:trHeight w:val="255"/>
          <w:jc w:val="center"/>
        </w:trPr>
        <w:tc>
          <w:tcPr>
            <w:tcW w:w="3847" w:type="dxa"/>
            <w:shd w:val="clear" w:color="auto" w:fill="auto"/>
            <w:hideMark/>
          </w:tcPr>
          <w:p w14:paraId="55709178" w14:textId="19DFFF47" w:rsidR="00575B82" w:rsidRPr="00557CCF" w:rsidRDefault="00575B82" w:rsidP="00DB6F0A">
            <w:r>
              <w:t>TDRA</w:t>
            </w:r>
          </w:p>
        </w:tc>
        <w:tc>
          <w:tcPr>
            <w:tcW w:w="1638" w:type="dxa"/>
            <w:shd w:val="clear" w:color="auto" w:fill="auto"/>
            <w:hideMark/>
          </w:tcPr>
          <w:p w14:paraId="5A8980EF" w14:textId="08988151" w:rsidR="00575B82" w:rsidRPr="00557CCF" w:rsidRDefault="00575B82" w:rsidP="00575B82">
            <w:pPr>
              <w:jc w:val="center"/>
            </w:pPr>
            <w:r>
              <w:t>4</w:t>
            </w:r>
          </w:p>
        </w:tc>
        <w:tc>
          <w:tcPr>
            <w:tcW w:w="1620" w:type="dxa"/>
            <w:shd w:val="clear" w:color="auto" w:fill="auto"/>
            <w:noWrap/>
            <w:hideMark/>
          </w:tcPr>
          <w:p w14:paraId="68243095" w14:textId="5DA5C37C" w:rsidR="00575B82" w:rsidRPr="00557CCF" w:rsidRDefault="00575B82" w:rsidP="00575B82">
            <w:pPr>
              <w:jc w:val="center"/>
            </w:pPr>
            <w:r>
              <w:t>4</w:t>
            </w:r>
          </w:p>
        </w:tc>
      </w:tr>
      <w:tr w:rsidR="005069EE" w:rsidRPr="00AD2085" w14:paraId="5749D1DE" w14:textId="77777777" w:rsidTr="005069EE">
        <w:trPr>
          <w:trHeight w:val="255"/>
          <w:jc w:val="center"/>
        </w:trPr>
        <w:tc>
          <w:tcPr>
            <w:tcW w:w="3847" w:type="dxa"/>
            <w:shd w:val="clear" w:color="auto" w:fill="auto"/>
          </w:tcPr>
          <w:p w14:paraId="7C4A3BB6" w14:textId="0035201F" w:rsidR="00575B82" w:rsidRPr="00557CCF" w:rsidRDefault="00575B82" w:rsidP="00DB6F0A">
            <w:r w:rsidRPr="00557CCF">
              <w:t>VRB-to-PRB mapping</w:t>
            </w:r>
            <w:r>
              <w:t xml:space="preserve"> or FH flag</w:t>
            </w:r>
          </w:p>
        </w:tc>
        <w:tc>
          <w:tcPr>
            <w:tcW w:w="1638" w:type="dxa"/>
            <w:shd w:val="clear" w:color="auto" w:fill="auto"/>
          </w:tcPr>
          <w:p w14:paraId="46E1A0F0" w14:textId="47A267E6" w:rsidR="00575B82" w:rsidRPr="00557CCF" w:rsidRDefault="00575B82" w:rsidP="00575B82">
            <w:pPr>
              <w:jc w:val="center"/>
            </w:pPr>
            <w:r>
              <w:t>1</w:t>
            </w:r>
          </w:p>
        </w:tc>
        <w:tc>
          <w:tcPr>
            <w:tcW w:w="1620" w:type="dxa"/>
            <w:shd w:val="clear" w:color="auto" w:fill="auto"/>
            <w:noWrap/>
          </w:tcPr>
          <w:p w14:paraId="58E7FFB6" w14:textId="3C78CB5C" w:rsidR="00575B82" w:rsidRPr="00AD2085" w:rsidRDefault="00575B82" w:rsidP="00575B82">
            <w:pPr>
              <w:jc w:val="center"/>
            </w:pPr>
            <w:r>
              <w:t>1</w:t>
            </w:r>
          </w:p>
        </w:tc>
      </w:tr>
      <w:tr w:rsidR="005069EE" w:rsidRPr="00AD2085" w14:paraId="09247627" w14:textId="77777777" w:rsidTr="005069EE">
        <w:trPr>
          <w:trHeight w:val="255"/>
          <w:jc w:val="center"/>
        </w:trPr>
        <w:tc>
          <w:tcPr>
            <w:tcW w:w="3847" w:type="dxa"/>
            <w:shd w:val="clear" w:color="auto" w:fill="auto"/>
          </w:tcPr>
          <w:p w14:paraId="460508F1" w14:textId="364EB106" w:rsidR="00575B82" w:rsidRPr="008F7F55" w:rsidRDefault="00575B82" w:rsidP="00DB6F0A">
            <w:r>
              <w:t>MCS</w:t>
            </w:r>
            <w:r w:rsidRPr="00BA457C">
              <w:t xml:space="preserve"> </w:t>
            </w:r>
          </w:p>
        </w:tc>
        <w:tc>
          <w:tcPr>
            <w:tcW w:w="1638" w:type="dxa"/>
            <w:shd w:val="clear" w:color="auto" w:fill="auto"/>
          </w:tcPr>
          <w:p w14:paraId="4A34D07B" w14:textId="62A247C1" w:rsidR="00575B82" w:rsidRPr="008F7F55" w:rsidRDefault="005069EE" w:rsidP="005069EE">
            <w:pPr>
              <w:jc w:val="center"/>
            </w:pPr>
            <w:r>
              <w:t>5</w:t>
            </w:r>
          </w:p>
        </w:tc>
        <w:tc>
          <w:tcPr>
            <w:tcW w:w="1620" w:type="dxa"/>
            <w:shd w:val="clear" w:color="auto" w:fill="auto"/>
            <w:noWrap/>
          </w:tcPr>
          <w:p w14:paraId="672ECABC" w14:textId="06A7AB08" w:rsidR="00575B82" w:rsidRPr="005069EE" w:rsidRDefault="005069EE" w:rsidP="005069EE">
            <w:pPr>
              <w:jc w:val="center"/>
            </w:pPr>
            <w:r w:rsidRPr="005069EE">
              <w:t>5</w:t>
            </w:r>
          </w:p>
        </w:tc>
      </w:tr>
      <w:tr w:rsidR="005069EE" w:rsidRPr="00BA457C" w14:paraId="7250BA45" w14:textId="77777777" w:rsidTr="005069EE">
        <w:trPr>
          <w:trHeight w:val="255"/>
          <w:jc w:val="center"/>
        </w:trPr>
        <w:tc>
          <w:tcPr>
            <w:tcW w:w="3847" w:type="dxa"/>
            <w:shd w:val="clear" w:color="auto" w:fill="auto"/>
          </w:tcPr>
          <w:p w14:paraId="56D56034" w14:textId="4E1DCD26" w:rsidR="00575B82" w:rsidRPr="00EA6BB9" w:rsidRDefault="00575B82" w:rsidP="00DB6F0A">
            <w:pPr>
              <w:rPr>
                <w:strike/>
              </w:rPr>
            </w:pPr>
            <w:r w:rsidRPr="00BA457C">
              <w:t>N</w:t>
            </w:r>
            <w:r>
              <w:t>DI</w:t>
            </w:r>
          </w:p>
        </w:tc>
        <w:tc>
          <w:tcPr>
            <w:tcW w:w="1638" w:type="dxa"/>
            <w:shd w:val="clear" w:color="auto" w:fill="auto"/>
          </w:tcPr>
          <w:p w14:paraId="52D880E8" w14:textId="77777777" w:rsidR="00575B82" w:rsidRPr="00EA6BB9" w:rsidRDefault="00575B82" w:rsidP="00575B82">
            <w:pPr>
              <w:jc w:val="center"/>
              <w:rPr>
                <w:strike/>
              </w:rPr>
            </w:pPr>
            <w:r w:rsidRPr="00BA457C">
              <w:t>1</w:t>
            </w:r>
          </w:p>
        </w:tc>
        <w:tc>
          <w:tcPr>
            <w:tcW w:w="1620" w:type="dxa"/>
            <w:shd w:val="clear" w:color="auto" w:fill="auto"/>
            <w:noWrap/>
          </w:tcPr>
          <w:p w14:paraId="56D63233" w14:textId="411CCC72" w:rsidR="00575B82" w:rsidRPr="00575B82" w:rsidRDefault="00575B82" w:rsidP="00575B82">
            <w:pPr>
              <w:jc w:val="center"/>
            </w:pPr>
            <w:r>
              <w:t>1</w:t>
            </w:r>
          </w:p>
        </w:tc>
      </w:tr>
      <w:tr w:rsidR="005069EE" w:rsidRPr="00AD2085" w14:paraId="111B1086" w14:textId="77777777" w:rsidTr="005069EE">
        <w:trPr>
          <w:trHeight w:val="255"/>
          <w:jc w:val="center"/>
        </w:trPr>
        <w:tc>
          <w:tcPr>
            <w:tcW w:w="3847" w:type="dxa"/>
            <w:shd w:val="clear" w:color="auto" w:fill="auto"/>
            <w:noWrap/>
          </w:tcPr>
          <w:p w14:paraId="1E06F0EA" w14:textId="13516856" w:rsidR="00575B82" w:rsidRPr="00BA457C" w:rsidRDefault="00575B82" w:rsidP="00DB6F0A">
            <w:r w:rsidRPr="00BA457C">
              <w:t>R</w:t>
            </w:r>
            <w:r w:rsidR="005069EE">
              <w:t>V</w:t>
            </w:r>
          </w:p>
        </w:tc>
        <w:tc>
          <w:tcPr>
            <w:tcW w:w="1638" w:type="dxa"/>
            <w:shd w:val="clear" w:color="auto" w:fill="auto"/>
            <w:noWrap/>
          </w:tcPr>
          <w:p w14:paraId="0B5500A0" w14:textId="3565BD91" w:rsidR="00575B82" w:rsidRPr="00BA457C" w:rsidRDefault="005069EE" w:rsidP="005069EE">
            <w:pPr>
              <w:jc w:val="center"/>
            </w:pPr>
            <w:r>
              <w:t>2</w:t>
            </w:r>
          </w:p>
        </w:tc>
        <w:tc>
          <w:tcPr>
            <w:tcW w:w="1620" w:type="dxa"/>
            <w:shd w:val="clear" w:color="auto" w:fill="auto"/>
            <w:noWrap/>
          </w:tcPr>
          <w:p w14:paraId="5705B5C4" w14:textId="1B262C82" w:rsidR="00575B82" w:rsidRPr="00AD2085" w:rsidRDefault="005069EE" w:rsidP="005069EE">
            <w:pPr>
              <w:jc w:val="center"/>
            </w:pPr>
            <w:r>
              <w:t>2</w:t>
            </w:r>
          </w:p>
        </w:tc>
      </w:tr>
      <w:tr w:rsidR="005069EE" w:rsidRPr="00AD2085" w14:paraId="05514162" w14:textId="77777777" w:rsidTr="005069EE">
        <w:trPr>
          <w:trHeight w:val="255"/>
          <w:jc w:val="center"/>
        </w:trPr>
        <w:tc>
          <w:tcPr>
            <w:tcW w:w="3847" w:type="dxa"/>
            <w:shd w:val="clear" w:color="auto" w:fill="auto"/>
            <w:noWrap/>
          </w:tcPr>
          <w:p w14:paraId="5655A2DE" w14:textId="66B7E713" w:rsidR="00575B82" w:rsidRPr="00BA457C" w:rsidRDefault="005069EE" w:rsidP="00DB6F0A">
            <w:r>
              <w:t>HPN</w:t>
            </w:r>
            <w:r w:rsidR="00575B82" w:rsidRPr="00BA457C">
              <w:t xml:space="preserve"> </w:t>
            </w:r>
          </w:p>
        </w:tc>
        <w:tc>
          <w:tcPr>
            <w:tcW w:w="1638" w:type="dxa"/>
            <w:shd w:val="clear" w:color="auto" w:fill="auto"/>
            <w:noWrap/>
          </w:tcPr>
          <w:p w14:paraId="2E5615B6" w14:textId="09831056" w:rsidR="00575B82" w:rsidRPr="00BA457C" w:rsidRDefault="005069EE" w:rsidP="005069EE">
            <w:pPr>
              <w:jc w:val="center"/>
            </w:pPr>
            <w:r>
              <w:t>5</w:t>
            </w:r>
          </w:p>
        </w:tc>
        <w:tc>
          <w:tcPr>
            <w:tcW w:w="1620" w:type="dxa"/>
            <w:shd w:val="clear" w:color="auto" w:fill="auto"/>
          </w:tcPr>
          <w:p w14:paraId="378BB2A5" w14:textId="04166E37" w:rsidR="00575B82" w:rsidRPr="00AD2085" w:rsidRDefault="005069EE" w:rsidP="005069EE">
            <w:pPr>
              <w:jc w:val="center"/>
            </w:pPr>
            <w:r>
              <w:t>5</w:t>
            </w:r>
          </w:p>
        </w:tc>
      </w:tr>
      <w:tr w:rsidR="005069EE" w:rsidRPr="00AD2085" w14:paraId="42AB98B1" w14:textId="77777777" w:rsidTr="005069EE">
        <w:trPr>
          <w:trHeight w:val="255"/>
          <w:jc w:val="center"/>
        </w:trPr>
        <w:tc>
          <w:tcPr>
            <w:tcW w:w="3847" w:type="dxa"/>
            <w:shd w:val="clear" w:color="auto" w:fill="auto"/>
            <w:noWrap/>
          </w:tcPr>
          <w:p w14:paraId="1945ED20" w14:textId="7E54518B" w:rsidR="00575B82" w:rsidRPr="00927012" w:rsidRDefault="00575B82" w:rsidP="00DB6F0A">
            <w:r w:rsidRPr="00927012">
              <w:t>D</w:t>
            </w:r>
            <w:r w:rsidR="005069EE">
              <w:t>AI</w:t>
            </w:r>
          </w:p>
        </w:tc>
        <w:tc>
          <w:tcPr>
            <w:tcW w:w="1638" w:type="dxa"/>
            <w:shd w:val="clear" w:color="auto" w:fill="auto"/>
            <w:noWrap/>
          </w:tcPr>
          <w:p w14:paraId="2AA691A9" w14:textId="523298BD" w:rsidR="00575B82" w:rsidRPr="00927012" w:rsidRDefault="005069EE" w:rsidP="005069EE">
            <w:pPr>
              <w:jc w:val="center"/>
            </w:pPr>
            <w:r>
              <w:t>1 or 2</w:t>
            </w:r>
          </w:p>
        </w:tc>
        <w:tc>
          <w:tcPr>
            <w:tcW w:w="1620" w:type="dxa"/>
            <w:shd w:val="clear" w:color="auto" w:fill="auto"/>
          </w:tcPr>
          <w:p w14:paraId="532EBA3D" w14:textId="47395B3B" w:rsidR="00575B82" w:rsidRPr="00AD2085" w:rsidRDefault="005069EE" w:rsidP="005069EE">
            <w:pPr>
              <w:jc w:val="center"/>
            </w:pPr>
            <w:r>
              <w:t>0</w:t>
            </w:r>
          </w:p>
        </w:tc>
      </w:tr>
      <w:tr w:rsidR="005069EE" w:rsidRPr="00AD2085" w14:paraId="16367581" w14:textId="77777777" w:rsidTr="005069EE">
        <w:trPr>
          <w:trHeight w:val="255"/>
          <w:jc w:val="center"/>
        </w:trPr>
        <w:tc>
          <w:tcPr>
            <w:tcW w:w="3847" w:type="dxa"/>
            <w:shd w:val="clear" w:color="auto" w:fill="auto"/>
            <w:noWrap/>
            <w:hideMark/>
          </w:tcPr>
          <w:p w14:paraId="4C0D92AB" w14:textId="20C4FAB7" w:rsidR="00575B82" w:rsidRPr="00927012" w:rsidRDefault="00575B82" w:rsidP="00DB6F0A">
            <w:r w:rsidRPr="00927012">
              <w:t>TPC command for PUCCH</w:t>
            </w:r>
            <w:r w:rsidR="00ED0C88">
              <w:t>/PUSCH</w:t>
            </w:r>
          </w:p>
        </w:tc>
        <w:tc>
          <w:tcPr>
            <w:tcW w:w="1638" w:type="dxa"/>
            <w:shd w:val="clear" w:color="auto" w:fill="auto"/>
            <w:noWrap/>
            <w:hideMark/>
          </w:tcPr>
          <w:p w14:paraId="3FC09831" w14:textId="44DB96FB" w:rsidR="00575B82" w:rsidRPr="00927012" w:rsidRDefault="00ED0C88" w:rsidP="005069EE">
            <w:pPr>
              <w:jc w:val="center"/>
            </w:pPr>
            <w:r>
              <w:t>2</w:t>
            </w:r>
          </w:p>
        </w:tc>
        <w:tc>
          <w:tcPr>
            <w:tcW w:w="1620" w:type="dxa"/>
            <w:shd w:val="clear" w:color="auto" w:fill="auto"/>
            <w:noWrap/>
            <w:hideMark/>
          </w:tcPr>
          <w:p w14:paraId="5A9B631F" w14:textId="1328B4EE" w:rsidR="00575B82" w:rsidRPr="00AD2085" w:rsidRDefault="00747AE0" w:rsidP="005069EE">
            <w:pPr>
              <w:jc w:val="center"/>
            </w:pPr>
            <w:r>
              <w:t>2</w:t>
            </w:r>
          </w:p>
        </w:tc>
      </w:tr>
      <w:tr w:rsidR="005069EE" w:rsidRPr="00BA457C" w14:paraId="378874F9" w14:textId="77777777" w:rsidTr="005069EE">
        <w:trPr>
          <w:trHeight w:val="255"/>
          <w:jc w:val="center"/>
        </w:trPr>
        <w:tc>
          <w:tcPr>
            <w:tcW w:w="3847" w:type="dxa"/>
            <w:shd w:val="clear" w:color="auto" w:fill="auto"/>
            <w:noWrap/>
            <w:hideMark/>
          </w:tcPr>
          <w:p w14:paraId="42469627" w14:textId="77777777" w:rsidR="005069EE" w:rsidRPr="00927012" w:rsidRDefault="005069EE" w:rsidP="005069EE">
            <w:r w:rsidRPr="00927012">
              <w:rPr>
                <w:rFonts w:hint="eastAsia"/>
              </w:rPr>
              <w:t>PUCCH resource indicator</w:t>
            </w:r>
          </w:p>
        </w:tc>
        <w:tc>
          <w:tcPr>
            <w:tcW w:w="1638" w:type="dxa"/>
            <w:shd w:val="clear" w:color="auto" w:fill="auto"/>
            <w:noWrap/>
            <w:hideMark/>
          </w:tcPr>
          <w:p w14:paraId="28FB2A2A" w14:textId="4DC6085A" w:rsidR="005069EE" w:rsidRPr="00927012" w:rsidRDefault="005069EE" w:rsidP="005069EE">
            <w:pPr>
              <w:jc w:val="center"/>
            </w:pPr>
            <w:r>
              <w:t>-</w:t>
            </w:r>
          </w:p>
        </w:tc>
        <w:tc>
          <w:tcPr>
            <w:tcW w:w="1620" w:type="dxa"/>
            <w:shd w:val="clear" w:color="auto" w:fill="auto"/>
            <w:noWrap/>
            <w:hideMark/>
          </w:tcPr>
          <w:p w14:paraId="468D587C" w14:textId="413B5144" w:rsidR="005069EE" w:rsidRPr="00BA457C" w:rsidRDefault="005069EE" w:rsidP="005069EE">
            <w:pPr>
              <w:jc w:val="center"/>
            </w:pPr>
            <w:r>
              <w:t>0</w:t>
            </w:r>
          </w:p>
        </w:tc>
      </w:tr>
      <w:tr w:rsidR="005069EE" w:rsidRPr="00AD2085" w14:paraId="4C13CC65" w14:textId="77777777" w:rsidTr="005069EE">
        <w:trPr>
          <w:trHeight w:val="255"/>
          <w:jc w:val="center"/>
        </w:trPr>
        <w:tc>
          <w:tcPr>
            <w:tcW w:w="3847" w:type="dxa"/>
            <w:shd w:val="clear" w:color="auto" w:fill="auto"/>
            <w:noWrap/>
          </w:tcPr>
          <w:p w14:paraId="08FC4BD4" w14:textId="77777777" w:rsidR="005069EE" w:rsidRPr="00AD2085" w:rsidRDefault="005069EE" w:rsidP="005069EE">
            <w:r w:rsidRPr="00AD2085">
              <w:rPr>
                <w:rFonts w:hint="eastAsia"/>
              </w:rPr>
              <w:t>PDSCH-to-HARQ feedback timing indicator</w:t>
            </w:r>
          </w:p>
        </w:tc>
        <w:tc>
          <w:tcPr>
            <w:tcW w:w="1638" w:type="dxa"/>
            <w:shd w:val="clear" w:color="auto" w:fill="auto"/>
            <w:noWrap/>
          </w:tcPr>
          <w:p w14:paraId="51F5AF8C" w14:textId="507E341B" w:rsidR="005069EE" w:rsidRPr="00927012" w:rsidRDefault="005069EE" w:rsidP="005069EE">
            <w:pPr>
              <w:jc w:val="center"/>
            </w:pPr>
            <w:r>
              <w:t>-</w:t>
            </w:r>
          </w:p>
        </w:tc>
        <w:tc>
          <w:tcPr>
            <w:tcW w:w="1620" w:type="dxa"/>
            <w:shd w:val="clear" w:color="auto" w:fill="auto"/>
            <w:noWrap/>
          </w:tcPr>
          <w:p w14:paraId="595C7C27" w14:textId="14A1CEF8" w:rsidR="005069EE" w:rsidRPr="00AD2085" w:rsidRDefault="005069EE" w:rsidP="005069EE">
            <w:pPr>
              <w:jc w:val="center"/>
            </w:pPr>
            <w:r>
              <w:t>0</w:t>
            </w:r>
          </w:p>
        </w:tc>
      </w:tr>
      <w:tr w:rsidR="005069EE" w:rsidRPr="00BA457C" w14:paraId="0618510D" w14:textId="77777777" w:rsidTr="005069EE">
        <w:trPr>
          <w:trHeight w:val="255"/>
          <w:jc w:val="center"/>
        </w:trPr>
        <w:tc>
          <w:tcPr>
            <w:tcW w:w="3847" w:type="dxa"/>
            <w:shd w:val="clear" w:color="auto" w:fill="auto"/>
            <w:noWrap/>
            <w:hideMark/>
          </w:tcPr>
          <w:p w14:paraId="17182C3E" w14:textId="254280B3" w:rsidR="005069EE" w:rsidRPr="00927012" w:rsidRDefault="005069EE" w:rsidP="005069EE">
            <w:r w:rsidRPr="00927012">
              <w:t>CRC</w:t>
            </w:r>
          </w:p>
        </w:tc>
        <w:tc>
          <w:tcPr>
            <w:tcW w:w="1638" w:type="dxa"/>
            <w:shd w:val="clear" w:color="auto" w:fill="auto"/>
            <w:noWrap/>
            <w:hideMark/>
          </w:tcPr>
          <w:p w14:paraId="1565FCA0" w14:textId="77777777" w:rsidR="005069EE" w:rsidRPr="00927012" w:rsidRDefault="005069EE" w:rsidP="005069EE">
            <w:pPr>
              <w:jc w:val="center"/>
            </w:pPr>
            <w:r w:rsidRPr="00927012">
              <w:t>24</w:t>
            </w:r>
          </w:p>
        </w:tc>
        <w:tc>
          <w:tcPr>
            <w:tcW w:w="1620" w:type="dxa"/>
            <w:shd w:val="clear" w:color="auto" w:fill="auto"/>
            <w:noWrap/>
            <w:hideMark/>
          </w:tcPr>
          <w:p w14:paraId="04993F26" w14:textId="4534D153" w:rsidR="005069EE" w:rsidRPr="00BA457C" w:rsidRDefault="005069EE" w:rsidP="005069EE">
            <w:pPr>
              <w:jc w:val="center"/>
            </w:pPr>
            <w:r>
              <w:t>24</w:t>
            </w:r>
          </w:p>
        </w:tc>
      </w:tr>
    </w:tbl>
    <w:p w14:paraId="74FFA454" w14:textId="77777777" w:rsidR="00F747D7" w:rsidRDefault="00F747D7" w:rsidP="00A312FC">
      <w:pPr>
        <w:wordWrap/>
        <w:jc w:val="both"/>
        <w:rPr>
          <w:bCs/>
        </w:rPr>
      </w:pPr>
    </w:p>
    <w:p w14:paraId="638F2D9B" w14:textId="1BE3CBEA" w:rsidR="00A312FC" w:rsidRPr="00D10CE4" w:rsidRDefault="00A312FC" w:rsidP="00A312FC">
      <w:pPr>
        <w:jc w:val="both"/>
        <w:rPr>
          <w:b/>
          <w:u w:val="single"/>
        </w:rPr>
      </w:pPr>
      <w:r w:rsidRPr="00D10CE4">
        <w:rPr>
          <w:b/>
          <w:u w:val="single"/>
        </w:rPr>
        <w:t xml:space="preserve">Proposal </w:t>
      </w:r>
      <w:r w:rsidR="00D77C60">
        <w:rPr>
          <w:b/>
          <w:u w:val="single"/>
        </w:rPr>
        <w:t>5</w:t>
      </w:r>
      <w:r w:rsidRPr="00D10CE4">
        <w:rPr>
          <w:b/>
          <w:u w:val="single"/>
        </w:rPr>
        <w:t xml:space="preserve">: </w:t>
      </w:r>
      <w:r w:rsidR="00635926">
        <w:rPr>
          <w:b/>
          <w:u w:val="single"/>
        </w:rPr>
        <w:t xml:space="preserve">A </w:t>
      </w:r>
      <w:r w:rsidRPr="00D10CE4">
        <w:rPr>
          <w:b/>
          <w:u w:val="single"/>
        </w:rPr>
        <w:t xml:space="preserve">DCI format </w:t>
      </w:r>
      <w:r w:rsidR="00635926">
        <w:rPr>
          <w:b/>
          <w:u w:val="single"/>
        </w:rPr>
        <w:t>1_1</w:t>
      </w:r>
      <w:r w:rsidRPr="00D10CE4">
        <w:rPr>
          <w:b/>
          <w:u w:val="single"/>
        </w:rPr>
        <w:t xml:space="preserve"> for a HARQ process with disabled HARQ-ACK does not include the PRI, </w:t>
      </w:r>
      <w:r w:rsidRPr="00D10CE4">
        <w:rPr>
          <w:b/>
          <w:bCs/>
          <w:u w:val="single"/>
        </w:rPr>
        <w:t>PUSCH-to-</w:t>
      </w:r>
      <w:proofErr w:type="spellStart"/>
      <w:r w:rsidRPr="00D10CE4">
        <w:rPr>
          <w:b/>
          <w:bCs/>
          <w:u w:val="single"/>
        </w:rPr>
        <w:t>HARQ_feedback</w:t>
      </w:r>
      <w:proofErr w:type="spellEnd"/>
      <w:r w:rsidRPr="00D10CE4">
        <w:rPr>
          <w:b/>
          <w:bCs/>
          <w:u w:val="single"/>
        </w:rPr>
        <w:t xml:space="preserve"> timing</w:t>
      </w:r>
      <w:r w:rsidR="00747AE0">
        <w:rPr>
          <w:b/>
          <w:bCs/>
          <w:u w:val="single"/>
        </w:rPr>
        <w:t xml:space="preserve"> and</w:t>
      </w:r>
      <w:r w:rsidRPr="00D10CE4">
        <w:rPr>
          <w:b/>
          <w:bCs/>
          <w:u w:val="single"/>
        </w:rPr>
        <w:t xml:space="preserve"> counter DAI</w:t>
      </w:r>
      <w:r w:rsidR="00747AE0">
        <w:rPr>
          <w:b/>
          <w:bCs/>
          <w:u w:val="single"/>
        </w:rPr>
        <w:t xml:space="preserve"> </w:t>
      </w:r>
      <w:r w:rsidR="00635926">
        <w:rPr>
          <w:b/>
          <w:bCs/>
          <w:u w:val="single"/>
        </w:rPr>
        <w:t xml:space="preserve">and is size matched </w:t>
      </w:r>
      <w:r w:rsidR="00471222">
        <w:rPr>
          <w:b/>
          <w:bCs/>
          <w:u w:val="single"/>
        </w:rPr>
        <w:t>to</w:t>
      </w:r>
      <w:r w:rsidR="00635926">
        <w:rPr>
          <w:b/>
          <w:bCs/>
          <w:u w:val="single"/>
        </w:rPr>
        <w:t xml:space="preserve"> DCI format 0_1</w:t>
      </w:r>
      <w:r w:rsidRPr="00D10CE4">
        <w:rPr>
          <w:b/>
          <w:u w:val="single"/>
        </w:rPr>
        <w:t>.</w:t>
      </w:r>
    </w:p>
    <w:p w14:paraId="1D937BE8" w14:textId="77777777" w:rsidR="00A312FC" w:rsidRDefault="00A312FC" w:rsidP="00A312FC">
      <w:pPr>
        <w:jc w:val="both"/>
      </w:pPr>
    </w:p>
    <w:p w14:paraId="3E053A2A" w14:textId="77777777" w:rsidR="00A312FC" w:rsidRPr="00567660" w:rsidRDefault="00A312FC" w:rsidP="00A312FC">
      <w:pPr>
        <w:jc w:val="both"/>
      </w:pPr>
    </w:p>
    <w:p w14:paraId="699530A7" w14:textId="77777777" w:rsidR="00A312FC" w:rsidRPr="00917606" w:rsidRDefault="00A312FC" w:rsidP="00A312FC">
      <w:pPr>
        <w:pStyle w:val="Heading1"/>
        <w:spacing w:before="0" w:after="120"/>
      </w:pPr>
      <w:r w:rsidRPr="00917606">
        <w:t>Coverage Enhancements</w:t>
      </w:r>
    </w:p>
    <w:p w14:paraId="5EB937EC" w14:textId="4E6D9B1E" w:rsidR="00091506" w:rsidRDefault="00091506" w:rsidP="00091506">
      <w:pPr>
        <w:suppressAutoHyphens/>
        <w:wordWrap/>
        <w:jc w:val="both"/>
        <w:rPr>
          <w:bCs/>
        </w:rPr>
      </w:pPr>
      <w:r>
        <w:rPr>
          <w:bCs/>
        </w:rPr>
        <w:t xml:space="preserve">The following was agreed in RAN1#106 for PDSCH coverage enhancements [1]. </w:t>
      </w:r>
    </w:p>
    <w:p w14:paraId="02A33A5F" w14:textId="77777777" w:rsidR="00091506" w:rsidRPr="00B35BCA" w:rsidRDefault="00091506" w:rsidP="00091506">
      <w:pPr>
        <w:suppressAutoHyphens/>
        <w:wordWrap/>
        <w:jc w:val="both"/>
        <w:rPr>
          <w:rFonts w:eastAsia="Malgun Gothic"/>
          <w:color w:val="000000"/>
        </w:rPr>
      </w:pPr>
    </w:p>
    <w:tbl>
      <w:tblPr>
        <w:tblStyle w:val="TableGrid"/>
        <w:tblW w:w="0" w:type="auto"/>
        <w:tblLook w:val="04A0" w:firstRow="1" w:lastRow="0" w:firstColumn="1" w:lastColumn="0" w:noHBand="0" w:noVBand="1"/>
      </w:tblPr>
      <w:tblGrid>
        <w:gridCol w:w="9631"/>
      </w:tblGrid>
      <w:tr w:rsidR="00091506" w:rsidRPr="00B35BCA" w14:paraId="027BE5CD" w14:textId="77777777" w:rsidTr="00DB6F0A">
        <w:tc>
          <w:tcPr>
            <w:tcW w:w="9631" w:type="dxa"/>
          </w:tcPr>
          <w:p w14:paraId="4B02F5A0" w14:textId="77777777" w:rsidR="00091506" w:rsidRPr="00B35BCA" w:rsidRDefault="00091506" w:rsidP="00091506">
            <w:pPr>
              <w:suppressAutoHyphens/>
              <w:wordWrap/>
              <w:spacing w:after="0"/>
              <w:rPr>
                <w:color w:val="000000"/>
                <w:lang w:eastAsia="x-none"/>
              </w:rPr>
            </w:pPr>
            <w:r w:rsidRPr="00B35BCA">
              <w:rPr>
                <w:color w:val="000000"/>
                <w:highlight w:val="green"/>
                <w:lang w:eastAsia="x-none"/>
              </w:rPr>
              <w:t>Agreement:</w:t>
            </w:r>
          </w:p>
          <w:p w14:paraId="2883E6CD" w14:textId="77777777" w:rsidR="00091506" w:rsidRDefault="00091506" w:rsidP="00091506">
            <w:pPr>
              <w:wordWrap/>
              <w:spacing w:after="0"/>
              <w:rPr>
                <w:lang w:eastAsia="x-none"/>
              </w:rPr>
            </w:pPr>
            <w:r>
              <w:rPr>
                <w:lang w:eastAsia="x-none"/>
              </w:rPr>
              <w:t xml:space="preserve">The maximum number of supported aggregation factor (i.e., </w:t>
            </w:r>
            <w:proofErr w:type="spellStart"/>
            <w:r>
              <w:rPr>
                <w:lang w:eastAsia="x-none"/>
              </w:rPr>
              <w:t>pdsch-AggregationFactor</w:t>
            </w:r>
            <w:proofErr w:type="spellEnd"/>
            <w:r>
              <w:rPr>
                <w:lang w:eastAsia="x-none"/>
              </w:rPr>
              <w:t>) for DL PDSCH is [X]</w:t>
            </w:r>
          </w:p>
          <w:p w14:paraId="0993B463" w14:textId="240160D6" w:rsidR="00091506" w:rsidRPr="00836C42" w:rsidRDefault="00091506" w:rsidP="00091506">
            <w:pPr>
              <w:widowControl/>
              <w:numPr>
                <w:ilvl w:val="0"/>
                <w:numId w:val="24"/>
              </w:numPr>
              <w:wordWrap/>
              <w:autoSpaceDE/>
              <w:autoSpaceDN/>
              <w:spacing w:after="0"/>
              <w:rPr>
                <w:lang w:eastAsia="x-none"/>
              </w:rPr>
            </w:pPr>
            <w:r>
              <w:rPr>
                <w:lang w:eastAsia="x-none"/>
              </w:rPr>
              <w:t>FFS: X = 8, 16 or 32</w:t>
            </w:r>
          </w:p>
        </w:tc>
      </w:tr>
    </w:tbl>
    <w:p w14:paraId="63D44920" w14:textId="77777777" w:rsidR="00091506" w:rsidRDefault="00091506" w:rsidP="00A312FC">
      <w:pPr>
        <w:wordWrap/>
        <w:jc w:val="both"/>
      </w:pPr>
    </w:p>
    <w:p w14:paraId="463B8C90" w14:textId="1D6F79E0" w:rsidR="00176D2C" w:rsidRDefault="00A65996" w:rsidP="00A65996">
      <w:pPr>
        <w:wordWrap/>
        <w:jc w:val="both"/>
      </w:pPr>
      <w:r>
        <w:t xml:space="preserve">Based on the evaluations from the </w:t>
      </w:r>
      <w:r w:rsidRPr="005802B8">
        <w:t xml:space="preserve">Rel-17 </w:t>
      </w:r>
      <w:r>
        <w:t xml:space="preserve">SI/WI on </w:t>
      </w:r>
      <w:r w:rsidRPr="005802B8">
        <w:t xml:space="preserve">coverage enhancements </w:t>
      </w:r>
      <w:r>
        <w:t xml:space="preserve">(CE), the link budget is limited on the UL and </w:t>
      </w:r>
      <w:r w:rsidR="00176D2C">
        <w:t>CE</w:t>
      </w:r>
      <w:r>
        <w:t xml:space="preserve"> over Rel-16 are specified for the PUSCH and the PUCCH. </w:t>
      </w:r>
      <w:r w:rsidR="00B4595D">
        <w:t xml:space="preserve">PRACH and PDCCH were also candidates for </w:t>
      </w:r>
      <w:r w:rsidR="00176D2C">
        <w:t>CE</w:t>
      </w:r>
      <w:r w:rsidR="00B4595D">
        <w:t xml:space="preserve"> while no need for </w:t>
      </w:r>
      <w:r w:rsidR="00176D2C">
        <w:t>CE</w:t>
      </w:r>
      <w:r w:rsidR="00B4595D">
        <w:t xml:space="preserve"> was identified for the PDSCH. As the only difference in NTN is the larger propagation loss, the link budget based on Rel-17 CE would be balanced in the DL and the UL with PDCCH still having somewhat </w:t>
      </w:r>
      <w:r w:rsidR="00176D2C">
        <w:t>worse</w:t>
      </w:r>
      <w:r w:rsidR="00B4595D">
        <w:t xml:space="preserve"> coverage than PDSCH. Further </w:t>
      </w:r>
      <w:r w:rsidR="00176D2C">
        <w:t>CE</w:t>
      </w:r>
      <w:r w:rsidR="00B4595D">
        <w:t xml:space="preserve"> are likely required for NTN but </w:t>
      </w:r>
      <w:r w:rsidR="00176D2C">
        <w:t xml:space="preserve">it is not meaningful to consider the PDSCH as it remains the channel that is least coverage limited. </w:t>
      </w:r>
    </w:p>
    <w:p w14:paraId="69E8FF86" w14:textId="58A345FD" w:rsidR="00A312FC" w:rsidRPr="00176D2C" w:rsidRDefault="00176D2C" w:rsidP="00A312FC">
      <w:pPr>
        <w:wordWrap/>
        <w:jc w:val="both"/>
      </w:pPr>
      <w:r>
        <w:t xml:space="preserve"> </w:t>
      </w:r>
    </w:p>
    <w:p w14:paraId="2A9F9903" w14:textId="6696ED96" w:rsidR="00A312FC" w:rsidRPr="001C21A0" w:rsidRDefault="00A312FC" w:rsidP="00A312FC">
      <w:pPr>
        <w:wordWrap/>
        <w:jc w:val="both"/>
        <w:rPr>
          <w:rFonts w:eastAsia="Malgun Gothic"/>
          <w:i/>
          <w:iCs/>
          <w:u w:val="single"/>
        </w:rPr>
      </w:pPr>
      <w:r w:rsidRPr="001C21A0">
        <w:rPr>
          <w:rFonts w:eastAsia="Malgun Gothic"/>
          <w:b/>
          <w:bCs/>
          <w:i/>
          <w:iCs/>
          <w:u w:val="single"/>
        </w:rPr>
        <w:t xml:space="preserve">Observation </w:t>
      </w:r>
      <w:r w:rsidR="00025085">
        <w:rPr>
          <w:rFonts w:eastAsia="Malgun Gothic"/>
          <w:b/>
          <w:bCs/>
          <w:i/>
          <w:iCs/>
          <w:u w:val="single"/>
        </w:rPr>
        <w:t>5</w:t>
      </w:r>
      <w:r w:rsidRPr="001C21A0">
        <w:rPr>
          <w:rFonts w:eastAsia="Malgun Gothic"/>
          <w:i/>
          <w:iCs/>
          <w:u w:val="single"/>
        </w:rPr>
        <w:t xml:space="preserve">: </w:t>
      </w:r>
      <w:r w:rsidR="001C21A0">
        <w:rPr>
          <w:rFonts w:eastAsia="Malgun Gothic"/>
          <w:i/>
          <w:iCs/>
          <w:u w:val="single"/>
        </w:rPr>
        <w:t>PDSCH is the channel with best coverage and</w:t>
      </w:r>
      <w:r w:rsidR="00176D2C" w:rsidRPr="001C21A0">
        <w:rPr>
          <w:rFonts w:eastAsia="Malgun Gothic"/>
          <w:i/>
          <w:iCs/>
          <w:u w:val="single"/>
        </w:rPr>
        <w:t xml:space="preserve"> </w:t>
      </w:r>
      <w:r w:rsidR="001C21A0">
        <w:rPr>
          <w:rFonts w:eastAsia="Malgun Gothic"/>
          <w:i/>
          <w:iCs/>
          <w:u w:val="single"/>
        </w:rPr>
        <w:t xml:space="preserve">it </w:t>
      </w:r>
      <w:r w:rsidR="00176D2C" w:rsidRPr="001C21A0">
        <w:rPr>
          <w:rFonts w:eastAsia="Malgun Gothic"/>
          <w:i/>
          <w:iCs/>
          <w:u w:val="single"/>
        </w:rPr>
        <w:t xml:space="preserve">is not meaningful to enhance </w:t>
      </w:r>
      <w:r w:rsidR="001C21A0">
        <w:rPr>
          <w:rFonts w:eastAsia="Malgun Gothic"/>
          <w:i/>
          <w:iCs/>
          <w:u w:val="single"/>
        </w:rPr>
        <w:t xml:space="preserve">PDSCH </w:t>
      </w:r>
      <w:r w:rsidR="00176D2C" w:rsidRPr="001C21A0">
        <w:rPr>
          <w:rFonts w:eastAsia="Malgun Gothic"/>
          <w:i/>
          <w:iCs/>
          <w:u w:val="single"/>
        </w:rPr>
        <w:t>coverage without enhancing coverage for other channels in NTN</w:t>
      </w:r>
      <w:r w:rsidRPr="001C21A0">
        <w:rPr>
          <w:rFonts w:eastAsia="Malgun Gothic"/>
          <w:i/>
          <w:iCs/>
          <w:u w:val="single"/>
        </w:rPr>
        <w:t>.</w:t>
      </w:r>
      <w:r w:rsidR="00176D2C" w:rsidRPr="001C21A0">
        <w:rPr>
          <w:rFonts w:eastAsia="Malgun Gothic"/>
          <w:i/>
          <w:iCs/>
          <w:u w:val="single"/>
        </w:rPr>
        <w:t xml:space="preserve"> </w:t>
      </w:r>
      <w:r w:rsidR="001C21A0" w:rsidRPr="001C21A0">
        <w:rPr>
          <w:rFonts w:eastAsia="Malgun Gothic"/>
          <w:i/>
          <w:iCs/>
          <w:u w:val="single"/>
        </w:rPr>
        <w:t xml:space="preserve">General coverage enhancements for NTN can be part of a Rel-18 SI/WI. </w:t>
      </w:r>
    </w:p>
    <w:p w14:paraId="3FDA67BF" w14:textId="77777777" w:rsidR="00A312FC" w:rsidRPr="0077210F" w:rsidRDefault="00A312FC" w:rsidP="00A312FC">
      <w:pPr>
        <w:wordWrap/>
        <w:jc w:val="both"/>
        <w:rPr>
          <w:b/>
        </w:rPr>
      </w:pPr>
    </w:p>
    <w:p w14:paraId="38CAEEB7" w14:textId="6435290D" w:rsidR="00A312FC" w:rsidRDefault="00A312FC" w:rsidP="00A312FC">
      <w:pPr>
        <w:wordWrap/>
        <w:jc w:val="both"/>
        <w:rPr>
          <w:rFonts w:eastAsia="Malgun Gothic"/>
        </w:rPr>
      </w:pPr>
    </w:p>
    <w:p w14:paraId="5C34C4A3" w14:textId="5C9777CC" w:rsidR="00A312FC" w:rsidRPr="00197A67" w:rsidRDefault="00A312FC" w:rsidP="00A91F25">
      <w:pPr>
        <w:pStyle w:val="Heading1"/>
        <w:spacing w:before="0" w:after="120"/>
      </w:pPr>
      <w:r>
        <w:lastRenderedPageBreak/>
        <w:t>UE Capability Aspects</w:t>
      </w:r>
    </w:p>
    <w:p w14:paraId="6F68791A" w14:textId="40BFBDEE" w:rsidR="00A312FC" w:rsidRPr="0077210F" w:rsidRDefault="00A312FC" w:rsidP="00A312FC">
      <w:pPr>
        <w:wordWrap/>
        <w:jc w:val="both"/>
      </w:pPr>
      <w:r w:rsidRPr="00F1276B">
        <w:rPr>
          <w:rFonts w:eastAsia="Malgun Gothic" w:hint="eastAsia"/>
        </w:rPr>
        <w:t xml:space="preserve">For </w:t>
      </w:r>
      <w:r w:rsidRPr="00F1276B">
        <w:rPr>
          <w:rFonts w:eastAsia="Malgun Gothic"/>
        </w:rPr>
        <w:t>the DL,</w:t>
      </w:r>
      <w:r w:rsidR="001C21A0">
        <w:rPr>
          <w:rFonts w:eastAsia="Malgun Gothic"/>
        </w:rPr>
        <w:t xml:space="preserve"> a </w:t>
      </w:r>
      <w:proofErr w:type="spellStart"/>
      <w:r w:rsidR="001C21A0">
        <w:rPr>
          <w:rFonts w:eastAsia="Malgun Gothic"/>
        </w:rPr>
        <w:t>gNB</w:t>
      </w:r>
      <w:proofErr w:type="spellEnd"/>
      <w:r w:rsidRPr="00F1276B">
        <w:rPr>
          <w:rFonts w:eastAsia="Malgun Gothic"/>
        </w:rPr>
        <w:t xml:space="preserve"> can configure a UE up to 32 HARQ processes</w:t>
      </w:r>
      <w:r w:rsidRPr="0077210F">
        <w:rPr>
          <w:rFonts w:eastAsia="Malgun Gothic"/>
        </w:rPr>
        <w:t xml:space="preserve">. For the UL, </w:t>
      </w:r>
      <w:r w:rsidR="001C21A0">
        <w:rPr>
          <w:rFonts w:eastAsia="Malgun Gothic"/>
        </w:rPr>
        <w:t>a</w:t>
      </w:r>
      <w:r w:rsidRPr="0077210F">
        <w:rPr>
          <w:rFonts w:eastAsia="Malgun Gothic"/>
        </w:rPr>
        <w:t xml:space="preserve"> </w:t>
      </w:r>
      <w:proofErr w:type="spellStart"/>
      <w:r w:rsidRPr="0077210F">
        <w:rPr>
          <w:rFonts w:eastAsia="Malgun Gothic"/>
        </w:rPr>
        <w:t>gNB</w:t>
      </w:r>
      <w:proofErr w:type="spellEnd"/>
      <w:r w:rsidRPr="0077210F">
        <w:rPr>
          <w:rFonts w:eastAsia="Malgun Gothic"/>
        </w:rPr>
        <w:t xml:space="preserve"> can configure </w:t>
      </w:r>
      <w:r w:rsidR="001C21A0">
        <w:rPr>
          <w:rFonts w:eastAsia="Malgun Gothic"/>
        </w:rPr>
        <w:t>a</w:t>
      </w:r>
      <w:r w:rsidRPr="0077210F">
        <w:rPr>
          <w:rFonts w:eastAsia="Malgun Gothic"/>
        </w:rPr>
        <w:t xml:space="preserve"> UE more than 16 HARQ processes if the UE indicates a corresponding capability</w:t>
      </w:r>
      <w:r>
        <w:t>.</w:t>
      </w:r>
      <w:r w:rsidRPr="0077210F">
        <w:t xml:space="preserve"> </w:t>
      </w:r>
      <w:r>
        <w:t>T</w:t>
      </w:r>
      <w:r w:rsidRPr="0077210F">
        <w:t xml:space="preserve">he number of HARQ processes and the maximum TBS should be jointly considered to minimize the impact on UE soft buffer size </w:t>
      </w:r>
      <w:r>
        <w:t>that</w:t>
      </w:r>
      <w:r w:rsidRPr="0077210F">
        <w:t xml:space="preserve"> depends on the number of HARQ processes, the maximum TBS, and the coding rate. The following two options can be considered. </w:t>
      </w:r>
    </w:p>
    <w:p w14:paraId="15FADD20" w14:textId="77777777" w:rsidR="00A312FC" w:rsidRPr="00B00123" w:rsidRDefault="00A312FC" w:rsidP="00A312FC">
      <w:pPr>
        <w:wordWrap/>
        <w:jc w:val="both"/>
      </w:pPr>
    </w:p>
    <w:p w14:paraId="5401BFB5" w14:textId="1B2FA766" w:rsidR="00A312FC" w:rsidRPr="00B00123" w:rsidRDefault="00A312FC" w:rsidP="00A312FC">
      <w:pPr>
        <w:wordWrap/>
        <w:jc w:val="both"/>
      </w:pPr>
      <w:r w:rsidRPr="00B00123">
        <w:rPr>
          <w:u w:val="single"/>
        </w:rPr>
        <w:t>Option 1</w:t>
      </w:r>
      <w:r w:rsidRPr="00B00123">
        <w:t xml:space="preserve">: A </w:t>
      </w:r>
      <w:proofErr w:type="spellStart"/>
      <w:r w:rsidRPr="00B00123">
        <w:t>gNB</w:t>
      </w:r>
      <w:proofErr w:type="spellEnd"/>
      <w:r w:rsidRPr="00B00123">
        <w:t xml:space="preserve"> </w:t>
      </w:r>
      <w:r>
        <w:t>informs a maximum TBS</w:t>
      </w:r>
      <w:r w:rsidRPr="00B00123">
        <w:t xml:space="preserve">. Based on the maximum TBS, </w:t>
      </w:r>
      <w:r w:rsidR="002F6E6B">
        <w:t>a</w:t>
      </w:r>
      <w:r w:rsidRPr="00B00123">
        <w:t xml:space="preserve"> UE determines </w:t>
      </w:r>
      <w:r>
        <w:t>a maximum</w:t>
      </w:r>
      <w:r w:rsidRPr="00B00123">
        <w:t xml:space="preserve"> number of HARQ processes the UE can support and reports</w:t>
      </w:r>
      <w:r w:rsidR="002F6E6B">
        <w:t xml:space="preserve"> it</w:t>
      </w:r>
      <w:r w:rsidRPr="00B00123">
        <w:t xml:space="preserve"> as a UE capability to the </w:t>
      </w:r>
      <w:proofErr w:type="spellStart"/>
      <w:r w:rsidRPr="00B00123">
        <w:t>gNB</w:t>
      </w:r>
      <w:proofErr w:type="spellEnd"/>
      <w:r w:rsidRPr="00B00123">
        <w:t xml:space="preserve">. The configuration of the maximum TBS is up to </w:t>
      </w:r>
      <w:r w:rsidR="002F6E6B">
        <w:t xml:space="preserve">the </w:t>
      </w:r>
      <w:proofErr w:type="spellStart"/>
      <w:r w:rsidRPr="00B00123">
        <w:t>gNB</w:t>
      </w:r>
      <w:proofErr w:type="spellEnd"/>
      <w:r>
        <w:t>, for example</w:t>
      </w:r>
      <w:r w:rsidRPr="00B00123">
        <w:t xml:space="preserve"> </w:t>
      </w:r>
      <w:r>
        <w:t>based</w:t>
      </w:r>
      <w:r w:rsidRPr="00B00123">
        <w:t xml:space="preserve"> </w:t>
      </w:r>
      <w:r>
        <w:t>on the</w:t>
      </w:r>
      <w:r w:rsidRPr="00B00123">
        <w:t xml:space="preserve"> link quality</w:t>
      </w:r>
      <w:r w:rsidR="002F6E6B">
        <w:t xml:space="preserve"> on the cell</w:t>
      </w:r>
      <w:r>
        <w:t xml:space="preserve"> or based on the link quality for the UE</w:t>
      </w:r>
      <w:r w:rsidR="002F6E6B">
        <w:t>.</w:t>
      </w:r>
      <w:r>
        <w:t xml:space="preserve"> </w:t>
      </w:r>
      <w:r w:rsidR="002F6E6B">
        <w:t>T</w:t>
      </w:r>
      <w:r>
        <w:t>ypically</w:t>
      </w:r>
      <w:r w:rsidR="002F6E6B">
        <w:t>, an NTN will</w:t>
      </w:r>
      <w:r w:rsidRPr="00B00123">
        <w:t xml:space="preserve"> not be able to support high-order modulation and large TBS. Therefore, </w:t>
      </w:r>
      <w:r w:rsidR="002F6E6B">
        <w:t xml:space="preserve">there will be practical </w:t>
      </w:r>
      <w:r w:rsidRPr="00B00123">
        <w:t>impact on maximum achievable data rate</w:t>
      </w:r>
      <w:r w:rsidR="002F6E6B">
        <w:t xml:space="preserve"> by configuring a maximum TBS</w:t>
      </w:r>
      <w:r w:rsidRPr="00B00123">
        <w:t xml:space="preserve"> </w:t>
      </w:r>
      <w:r w:rsidR="002F6E6B">
        <w:t>while</w:t>
      </w:r>
      <w:r w:rsidRPr="00B00123">
        <w:t xml:space="preserve"> the benefit from a larger number of HARQ processes </w:t>
      </w:r>
      <w:r w:rsidR="002F6E6B">
        <w:t>will be</w:t>
      </w:r>
      <w:r w:rsidRPr="00B00123">
        <w:t xml:space="preserve"> obtained without impact on UE implementation complexity. </w:t>
      </w:r>
    </w:p>
    <w:p w14:paraId="62246D9A" w14:textId="77777777" w:rsidR="00A312FC" w:rsidRPr="00B00123" w:rsidRDefault="00A312FC" w:rsidP="00A312FC">
      <w:pPr>
        <w:wordWrap/>
        <w:jc w:val="both"/>
      </w:pPr>
    </w:p>
    <w:p w14:paraId="2A8D8789" w14:textId="1A13DB1D" w:rsidR="00A312FC" w:rsidRPr="00B00123" w:rsidRDefault="00A312FC" w:rsidP="00A312FC">
      <w:pPr>
        <w:wordWrap/>
        <w:jc w:val="both"/>
      </w:pPr>
      <w:r w:rsidRPr="00B00123">
        <w:rPr>
          <w:u w:val="single"/>
        </w:rPr>
        <w:t>Option 2</w:t>
      </w:r>
      <w:r w:rsidRPr="00B00123">
        <w:t xml:space="preserve">: </w:t>
      </w:r>
      <w:r>
        <w:t>A</w:t>
      </w:r>
      <w:r w:rsidRPr="00B00123">
        <w:t xml:space="preserve"> </w:t>
      </w:r>
      <w:r>
        <w:t xml:space="preserve">UE reports a </w:t>
      </w:r>
      <w:r w:rsidRPr="00B00123">
        <w:t>number of HARQ processes</w:t>
      </w:r>
      <w:r>
        <w:t xml:space="preserve"> </w:t>
      </w:r>
      <w:r w:rsidRPr="00B00123">
        <w:t>the UE can support</w:t>
      </w:r>
      <w:r>
        <w:t xml:space="preserve"> as a UE capability for a combination of UE capabilities</w:t>
      </w:r>
      <w:r w:rsidRPr="00B00123">
        <w:t xml:space="preserve">. For example, the UE can report that it can support </w:t>
      </w:r>
      <w:r>
        <w:t>a maximum of</w:t>
      </w:r>
      <w:r w:rsidRPr="00B00123">
        <w:t xml:space="preserve"> 16 HARQ processes without a maximum TBS constraint</w:t>
      </w:r>
      <w:r>
        <w:t xml:space="preserve">, or a maximum of </w:t>
      </w:r>
      <w:r w:rsidRPr="00B00123">
        <w:t>32 HARQ processes with reduced maximum TBS</w:t>
      </w:r>
      <w:r>
        <w:t>,</w:t>
      </w:r>
      <w:r w:rsidRPr="00B00123">
        <w:t xml:space="preserve"> </w:t>
      </w:r>
      <w:r>
        <w:t>or a maximum of</w:t>
      </w:r>
      <w:r w:rsidRPr="00B00123">
        <w:t xml:space="preserve"> 32 HARQ processes without a maximum TBS constraint. </w:t>
      </w:r>
      <w:r w:rsidR="002F6E6B">
        <w:t>That would enable</w:t>
      </w:r>
      <w:r w:rsidRPr="00B00123">
        <w:t xml:space="preserve"> </w:t>
      </w:r>
      <w:r>
        <w:t xml:space="preserve">a </w:t>
      </w:r>
      <w:r w:rsidRPr="00B00123">
        <w:t xml:space="preserve">UE with </w:t>
      </w:r>
      <w:r>
        <w:t xml:space="preserve">limited </w:t>
      </w:r>
      <w:r w:rsidRPr="00B00123">
        <w:t xml:space="preserve">soft buffer size </w:t>
      </w:r>
      <w:r w:rsidR="002F6E6B">
        <w:t>to</w:t>
      </w:r>
      <w:r w:rsidRPr="00B00123">
        <w:t xml:space="preserve"> be scheduled with more than 16 HARQ processes under the maximum TBS constraint </w:t>
      </w:r>
      <w:r>
        <w:t xml:space="preserve">and applicability of </w:t>
      </w:r>
      <w:r w:rsidRPr="00B00123">
        <w:t xml:space="preserve">NTN deployments </w:t>
      </w:r>
      <w:r w:rsidR="002F6E6B">
        <w:t xml:space="preserve">will expand </w:t>
      </w:r>
      <w:r>
        <w:t>while avoiding</w:t>
      </w:r>
      <w:r w:rsidRPr="00B00123">
        <w:t xml:space="preserve"> additional UE complexity/cost. Considering that the </w:t>
      </w:r>
      <w:r w:rsidR="002F6E6B">
        <w:t xml:space="preserve">NTN </w:t>
      </w:r>
      <w:r w:rsidRPr="00B00123">
        <w:t xml:space="preserve">link quality </w:t>
      </w:r>
      <w:r>
        <w:t>will typically not</w:t>
      </w:r>
      <w:r w:rsidRPr="00B00123">
        <w:t xml:space="preserve"> support large TBS, UEs </w:t>
      </w:r>
      <w:r w:rsidR="002F6E6B">
        <w:t>will be able to</w:t>
      </w:r>
      <w:r>
        <w:t xml:space="preserve"> support NTN</w:t>
      </w:r>
      <w:r w:rsidRPr="00B00123">
        <w:t xml:space="preserve"> </w:t>
      </w:r>
      <w:r>
        <w:t>with</w:t>
      </w:r>
      <w:r w:rsidRPr="00B00123">
        <w:t xml:space="preserve"> a larger number of HARQ processes </w:t>
      </w:r>
      <w:r>
        <w:t>and without an</w:t>
      </w:r>
      <w:r w:rsidRPr="00B00123">
        <w:t xml:space="preserve"> impact on UE soft buffer size. </w:t>
      </w:r>
    </w:p>
    <w:p w14:paraId="12955D67" w14:textId="77777777" w:rsidR="00A312FC" w:rsidRPr="00B00123" w:rsidRDefault="00A312FC" w:rsidP="00A312FC">
      <w:pPr>
        <w:wordWrap/>
        <w:jc w:val="both"/>
        <w:rPr>
          <w:b/>
        </w:rPr>
      </w:pPr>
    </w:p>
    <w:p w14:paraId="072CE89A" w14:textId="6B298453" w:rsidR="00A312FC" w:rsidRPr="008E433B" w:rsidRDefault="00A312FC" w:rsidP="00A312FC">
      <w:pPr>
        <w:wordWrap/>
        <w:spacing w:after="60"/>
        <w:jc w:val="both"/>
        <w:rPr>
          <w:b/>
          <w:u w:val="single"/>
        </w:rPr>
      </w:pPr>
      <w:bookmarkStart w:id="4" w:name="_Ref71294267"/>
      <w:r w:rsidRPr="008E433B">
        <w:rPr>
          <w:b/>
          <w:bCs/>
          <w:kern w:val="2"/>
          <w:u w:val="single"/>
          <w:lang w:eastAsia="ja-JP"/>
        </w:rPr>
        <w:t xml:space="preserve">Proposal </w:t>
      </w:r>
      <w:r w:rsidR="00DD5189">
        <w:rPr>
          <w:b/>
          <w:bCs/>
          <w:kern w:val="2"/>
          <w:u w:val="single"/>
          <w:lang w:eastAsia="ja-JP"/>
        </w:rPr>
        <w:t>6</w:t>
      </w:r>
      <w:r w:rsidRPr="008E433B">
        <w:rPr>
          <w:b/>
          <w:bCs/>
          <w:kern w:val="2"/>
          <w:u w:val="single"/>
          <w:lang w:eastAsia="ja-JP"/>
        </w:rPr>
        <w:t xml:space="preserve">: </w:t>
      </w:r>
      <w:r w:rsidR="002F6E6B">
        <w:rPr>
          <w:b/>
          <w:u w:val="single"/>
        </w:rPr>
        <w:t>To enable up to 32 HARQ processes without increasing the soft buffer size</w:t>
      </w:r>
      <w:r w:rsidRPr="008E433B">
        <w:rPr>
          <w:b/>
          <w:u w:val="single"/>
        </w:rPr>
        <w:t>, support one of the following</w:t>
      </w:r>
      <w:bookmarkEnd w:id="4"/>
      <w:r w:rsidR="002F6E6B">
        <w:rPr>
          <w:b/>
          <w:u w:val="single"/>
        </w:rPr>
        <w:t>:</w:t>
      </w:r>
      <w:r w:rsidRPr="008E433B">
        <w:rPr>
          <w:b/>
          <w:u w:val="single"/>
        </w:rPr>
        <w:t xml:space="preserve"> </w:t>
      </w:r>
    </w:p>
    <w:p w14:paraId="60E4078D" w14:textId="2CC9736A" w:rsidR="00A312FC" w:rsidRPr="008E433B" w:rsidRDefault="00A312FC" w:rsidP="00A312FC">
      <w:pPr>
        <w:pStyle w:val="ListParagraph"/>
        <w:widowControl w:val="0"/>
        <w:numPr>
          <w:ilvl w:val="0"/>
          <w:numId w:val="15"/>
        </w:numPr>
        <w:suppressAutoHyphens/>
        <w:spacing w:after="60"/>
        <w:contextualSpacing w:val="0"/>
        <w:jc w:val="both"/>
        <w:rPr>
          <w:b/>
          <w:u w:val="single"/>
          <w:lang w:val="en-US"/>
        </w:rPr>
      </w:pPr>
      <w:r w:rsidRPr="008E433B">
        <w:rPr>
          <w:b/>
          <w:u w:val="single"/>
          <w:lang w:val="en-US"/>
        </w:rPr>
        <w:t xml:space="preserve">Option 1. </w:t>
      </w:r>
      <w:proofErr w:type="spellStart"/>
      <w:r w:rsidRPr="008E433B">
        <w:rPr>
          <w:b/>
          <w:u w:val="single"/>
          <w:lang w:val="en-US"/>
        </w:rPr>
        <w:t>gNB</w:t>
      </w:r>
      <w:proofErr w:type="spellEnd"/>
      <w:r w:rsidRPr="008E433B">
        <w:rPr>
          <w:b/>
          <w:u w:val="single"/>
          <w:lang w:val="en-US"/>
        </w:rPr>
        <w:t xml:space="preserve"> informs a maximum TBS and UE reports its capability for a number of HARQ processes. </w:t>
      </w:r>
    </w:p>
    <w:p w14:paraId="2702A17D" w14:textId="68EC65DB" w:rsidR="00A312FC" w:rsidRPr="008E433B" w:rsidRDefault="00A312FC" w:rsidP="00A312FC">
      <w:pPr>
        <w:pStyle w:val="ListParagraph"/>
        <w:widowControl w:val="0"/>
        <w:numPr>
          <w:ilvl w:val="0"/>
          <w:numId w:val="15"/>
        </w:numPr>
        <w:suppressAutoHyphens/>
        <w:spacing w:after="0"/>
        <w:contextualSpacing w:val="0"/>
        <w:jc w:val="both"/>
        <w:rPr>
          <w:b/>
          <w:u w:val="single"/>
          <w:lang w:val="en-US"/>
        </w:rPr>
      </w:pPr>
      <w:r w:rsidRPr="008E433B">
        <w:rPr>
          <w:b/>
          <w:u w:val="single"/>
          <w:lang w:val="en-US"/>
        </w:rPr>
        <w:t xml:space="preserve">Option 2. UE reports separate capabilities for a number of predefined pairs of {maximum number of HARQ processes, maximum TBS}. </w:t>
      </w:r>
    </w:p>
    <w:p w14:paraId="5265036B" w14:textId="77777777" w:rsidR="00A312FC" w:rsidRPr="00B00123" w:rsidRDefault="00A312FC" w:rsidP="00A312FC">
      <w:pPr>
        <w:wordWrap/>
        <w:jc w:val="both"/>
        <w:rPr>
          <w:rFonts w:eastAsia="Malgun Gothic"/>
        </w:rPr>
      </w:pPr>
    </w:p>
    <w:p w14:paraId="08410421" w14:textId="61E8FE2D" w:rsidR="00A312FC" w:rsidRPr="00254B2F" w:rsidRDefault="00A312FC" w:rsidP="00A312FC">
      <w:pPr>
        <w:wordWrap/>
        <w:jc w:val="both"/>
      </w:pPr>
      <w:r>
        <w:t>A</w:t>
      </w:r>
      <w:r w:rsidRPr="00B00123">
        <w:t xml:space="preserve"> UE is </w:t>
      </w:r>
      <w:r>
        <w:t>also</w:t>
      </w:r>
      <w:r w:rsidRPr="00B00123">
        <w:t xml:space="preserve"> aware of the </w:t>
      </w:r>
      <w:r>
        <w:t xml:space="preserve">soft </w:t>
      </w:r>
      <w:r w:rsidRPr="00B00123">
        <w:t>buffer s</w:t>
      </w:r>
      <w:r>
        <w:t>tatus for</w:t>
      </w:r>
      <w:r w:rsidRPr="00B00123">
        <w:t xml:space="preserve"> the DL HARQ proce</w:t>
      </w:r>
      <w:r>
        <w:t xml:space="preserve">sses and </w:t>
      </w:r>
      <w:r w:rsidRPr="00B00123">
        <w:t>it would be beneficial</w:t>
      </w:r>
      <w:r>
        <w:t xml:space="preserve"> for the</w:t>
      </w:r>
      <w:r w:rsidRPr="00B00123">
        <w:t xml:space="preserve"> </w:t>
      </w:r>
      <w:r>
        <w:t xml:space="preserve">UE to request </w:t>
      </w:r>
      <w:r w:rsidRPr="00B00123">
        <w:t>HARQ</w:t>
      </w:r>
      <w:r>
        <w:t xml:space="preserve">-ACK </w:t>
      </w:r>
      <w:r w:rsidRPr="00B00123">
        <w:t xml:space="preserve">disabling </w:t>
      </w:r>
      <w:r>
        <w:t xml:space="preserve">for HARQ processes from the </w:t>
      </w:r>
      <w:proofErr w:type="spellStart"/>
      <w:r>
        <w:t>gNB</w:t>
      </w:r>
      <w:proofErr w:type="spellEnd"/>
      <w:r w:rsidRPr="00B00123">
        <w:t xml:space="preserve"> </w:t>
      </w:r>
      <w:r>
        <w:t>when the soft buffer is</w:t>
      </w:r>
      <w:r w:rsidR="002F6E6B">
        <w:t xml:space="preserve"> often</w:t>
      </w:r>
      <w:r>
        <w:t xml:space="preserve"> full</w:t>
      </w:r>
      <w:r w:rsidRPr="00B00123">
        <w:t xml:space="preserve">. </w:t>
      </w:r>
      <w:r>
        <w:t>The</w:t>
      </w:r>
      <w:r w:rsidRPr="00B00123">
        <w:t xml:space="preserve"> UE can </w:t>
      </w:r>
      <w:r>
        <w:t>use the</w:t>
      </w:r>
      <w:r w:rsidRPr="00B00123">
        <w:t xml:space="preserve"> </w:t>
      </w:r>
      <w:proofErr w:type="spellStart"/>
      <w:r w:rsidRPr="00254B2F">
        <w:rPr>
          <w:i/>
        </w:rPr>
        <w:t>UEAssistanceInformation</w:t>
      </w:r>
      <w:proofErr w:type="spellEnd"/>
      <w:r w:rsidRPr="00254B2F">
        <w:t xml:space="preserve"> to request HARQ-ACK disabling/enabling or to indicate statistics for the soft buffer</w:t>
      </w:r>
      <w:r w:rsidR="002F6E6B">
        <w:t xml:space="preserve"> as the </w:t>
      </w:r>
      <w:proofErr w:type="spellStart"/>
      <w:r w:rsidR="002F6E6B">
        <w:t>gNB</w:t>
      </w:r>
      <w:proofErr w:type="spellEnd"/>
      <w:r w:rsidR="002F6E6B">
        <w:t xml:space="preserve"> cannot know how many HARQ processes require HARQ-ACK disabling</w:t>
      </w:r>
      <w:r w:rsidRPr="00254B2F">
        <w:t xml:space="preserve">. The UE may also report its soft buffer size to the </w:t>
      </w:r>
      <w:proofErr w:type="spellStart"/>
      <w:r w:rsidRPr="00254B2F">
        <w:t>gNB</w:t>
      </w:r>
      <w:proofErr w:type="spellEnd"/>
      <w:r w:rsidRPr="00254B2F">
        <w:t xml:space="preserve"> as part of the UE capability information.</w:t>
      </w:r>
    </w:p>
    <w:p w14:paraId="41481AD0" w14:textId="77777777" w:rsidR="00A312FC" w:rsidRPr="00254B2F" w:rsidRDefault="00A312FC" w:rsidP="00A312FC">
      <w:pPr>
        <w:wordWrap/>
        <w:jc w:val="both"/>
      </w:pPr>
    </w:p>
    <w:p w14:paraId="06397994" w14:textId="7F1BF35A" w:rsidR="00A312FC" w:rsidRPr="00254B2F" w:rsidRDefault="00A312FC" w:rsidP="00A312FC">
      <w:pPr>
        <w:wordWrap/>
        <w:jc w:val="both"/>
        <w:rPr>
          <w:b/>
          <w:bCs/>
          <w:kern w:val="2"/>
          <w:u w:val="single"/>
          <w:lang w:eastAsia="ja-JP"/>
        </w:rPr>
      </w:pPr>
      <w:bookmarkStart w:id="5" w:name="_Ref71294270"/>
      <w:r w:rsidRPr="00254B2F">
        <w:rPr>
          <w:b/>
          <w:bCs/>
          <w:kern w:val="2"/>
          <w:u w:val="single"/>
          <w:lang w:eastAsia="ja-JP"/>
        </w:rPr>
        <w:t xml:space="preserve">Proposal </w:t>
      </w:r>
      <w:r w:rsidR="00DD5189">
        <w:rPr>
          <w:b/>
          <w:bCs/>
          <w:kern w:val="2"/>
          <w:u w:val="single"/>
          <w:lang w:eastAsia="ja-JP"/>
        </w:rPr>
        <w:t>7</w:t>
      </w:r>
      <w:r w:rsidRPr="00254B2F">
        <w:rPr>
          <w:b/>
          <w:bCs/>
          <w:kern w:val="2"/>
          <w:u w:val="single"/>
          <w:lang w:eastAsia="ja-JP"/>
        </w:rPr>
        <w:t xml:space="preserve">: </w:t>
      </w:r>
      <w:r w:rsidR="001C21A0">
        <w:rPr>
          <w:b/>
          <w:u w:val="single"/>
        </w:rPr>
        <w:t>Support</w:t>
      </w:r>
      <w:r w:rsidRPr="00254B2F">
        <w:rPr>
          <w:b/>
          <w:u w:val="single"/>
        </w:rPr>
        <w:t xml:space="preserve"> UE assistance information </w:t>
      </w:r>
      <w:r w:rsidR="002F6E6B">
        <w:rPr>
          <w:b/>
          <w:u w:val="single"/>
        </w:rPr>
        <w:t>to indicate full soft buffer or to request HARQ-ACK enabling/disabling for HARQ processes</w:t>
      </w:r>
      <w:r w:rsidRPr="00254B2F">
        <w:rPr>
          <w:b/>
          <w:u w:val="single"/>
        </w:rPr>
        <w:t>.</w:t>
      </w:r>
      <w:bookmarkEnd w:id="5"/>
    </w:p>
    <w:p w14:paraId="1CE600F8" w14:textId="61396D03" w:rsidR="00053AAE" w:rsidRPr="00254B2F" w:rsidRDefault="00053AAE" w:rsidP="0077210F">
      <w:pPr>
        <w:suppressAutoHyphens/>
        <w:wordWrap/>
        <w:jc w:val="both"/>
      </w:pPr>
    </w:p>
    <w:p w14:paraId="7317F49D" w14:textId="77777777" w:rsidR="00A9756C" w:rsidRPr="00254B2F" w:rsidRDefault="00A9756C" w:rsidP="0077210F">
      <w:pPr>
        <w:suppressAutoHyphens/>
        <w:wordWrap/>
        <w:jc w:val="both"/>
      </w:pPr>
    </w:p>
    <w:p w14:paraId="479E2FB9" w14:textId="77777777" w:rsidR="008951CA" w:rsidRPr="006259B8" w:rsidRDefault="009C1AB8" w:rsidP="00A9756C">
      <w:pPr>
        <w:pStyle w:val="Heading1"/>
        <w:keepNext w:val="0"/>
        <w:keepLines w:val="0"/>
        <w:widowControl w:val="0"/>
        <w:suppressAutoHyphens/>
        <w:spacing w:before="0" w:after="60"/>
        <w:rPr>
          <w:rFonts w:eastAsia="Malgun Gothic"/>
          <w:color w:val="000000"/>
          <w:lang w:val="en-US" w:eastAsia="ko-KR"/>
        </w:rPr>
      </w:pPr>
      <w:r w:rsidRPr="006259B8">
        <w:rPr>
          <w:rFonts w:eastAsia="Malgun Gothic"/>
          <w:color w:val="000000"/>
          <w:lang w:val="en-US" w:eastAsia="ko-KR"/>
        </w:rPr>
        <w:t>C</w:t>
      </w:r>
      <w:r w:rsidR="008951CA" w:rsidRPr="006259B8">
        <w:rPr>
          <w:rFonts w:eastAsia="Malgun Gothic"/>
          <w:color w:val="000000"/>
          <w:lang w:val="en-US" w:eastAsia="ko-KR"/>
        </w:rPr>
        <w:t xml:space="preserve">onclusions </w:t>
      </w:r>
    </w:p>
    <w:p w14:paraId="1F20F36A" w14:textId="38F64098" w:rsidR="00B322DC" w:rsidRDefault="00B322DC" w:rsidP="00B322DC">
      <w:pPr>
        <w:jc w:val="both"/>
      </w:pPr>
      <w:r w:rsidRPr="00BF18A8">
        <w:rPr>
          <w:kern w:val="2"/>
          <w:lang w:eastAsia="zh-CN"/>
        </w:rPr>
        <w:t>This contribution considered</w:t>
      </w:r>
      <w:r>
        <w:t xml:space="preserve"> </w:t>
      </w:r>
      <w:r w:rsidR="00DD5189">
        <w:t xml:space="preserve">remaining aspects on </w:t>
      </w:r>
      <w:r w:rsidRPr="00B00123">
        <w:rPr>
          <w:rFonts w:eastAsia="Malgun Gothic"/>
          <w:color w:val="000000"/>
        </w:rPr>
        <w:t>HARQ</w:t>
      </w:r>
      <w:r w:rsidR="000A2DAE">
        <w:rPr>
          <w:rFonts w:eastAsia="Malgun Gothic"/>
          <w:color w:val="000000"/>
        </w:rPr>
        <w:t xml:space="preserve"> </w:t>
      </w:r>
      <w:r w:rsidRPr="00B00123">
        <w:rPr>
          <w:rFonts w:eastAsia="Malgun Gothic"/>
          <w:color w:val="000000"/>
        </w:rPr>
        <w:t>for NTN</w:t>
      </w:r>
      <w:r>
        <w:t xml:space="preserve"> and proposes the following.</w:t>
      </w:r>
    </w:p>
    <w:p w14:paraId="69CFA340" w14:textId="77777777" w:rsidR="00B322DC" w:rsidRDefault="00B322DC" w:rsidP="00B322DC">
      <w:pPr>
        <w:suppressAutoHyphens/>
        <w:wordWrap/>
        <w:jc w:val="both"/>
        <w:rPr>
          <w:rFonts w:eastAsia="Malgun Gothic"/>
          <w:color w:val="000000"/>
        </w:rPr>
      </w:pPr>
    </w:p>
    <w:p w14:paraId="3478890F" w14:textId="77777777" w:rsidR="006E188A" w:rsidRPr="0068474F" w:rsidRDefault="006E188A" w:rsidP="006E188A">
      <w:pPr>
        <w:suppressAutoHyphens/>
        <w:wordWrap/>
        <w:jc w:val="both"/>
        <w:rPr>
          <w:b/>
          <w:bCs/>
          <w:kern w:val="2"/>
          <w:u w:val="single"/>
          <w:lang w:eastAsia="ja-JP"/>
        </w:rPr>
      </w:pPr>
      <w:r w:rsidRPr="002170CF">
        <w:rPr>
          <w:b/>
          <w:bCs/>
          <w:kern w:val="2"/>
          <w:u w:val="single"/>
          <w:lang w:eastAsia="ja-JP"/>
        </w:rPr>
        <w:t xml:space="preserve">Proposal 1: </w:t>
      </w:r>
      <w:r>
        <w:rPr>
          <w:b/>
          <w:u w:val="single"/>
        </w:rPr>
        <w:t>RAN1 to conclude whether a UE should support DCI-based retransmissions for TBs with disabled HARQ-ACK reports</w:t>
      </w:r>
      <w:r w:rsidRPr="002170CF">
        <w:rPr>
          <w:b/>
          <w:u w:val="single"/>
        </w:rPr>
        <w:t>.</w:t>
      </w:r>
      <w:r>
        <w:rPr>
          <w:b/>
          <w:u w:val="single"/>
        </w:rPr>
        <w:t xml:space="preserve"> If such retransmissions are to be supported, the UE behavior regarding LLR combining is up to UE implementation.</w:t>
      </w:r>
      <w:r w:rsidRPr="002170CF">
        <w:rPr>
          <w:b/>
          <w:u w:val="single"/>
        </w:rPr>
        <w:t xml:space="preserve"> </w:t>
      </w:r>
    </w:p>
    <w:p w14:paraId="5C8F8DF3" w14:textId="77777777" w:rsidR="00B322DC" w:rsidRPr="00F1276B" w:rsidRDefault="00B322DC" w:rsidP="00B322DC">
      <w:pPr>
        <w:suppressAutoHyphens/>
        <w:wordWrap/>
        <w:jc w:val="both"/>
        <w:rPr>
          <w:b/>
          <w:bCs/>
          <w:kern w:val="2"/>
          <w:u w:val="single"/>
          <w:lang w:eastAsia="ja-JP"/>
        </w:rPr>
      </w:pPr>
    </w:p>
    <w:p w14:paraId="105559A0" w14:textId="77777777" w:rsidR="006E188A" w:rsidRPr="00F1276B" w:rsidRDefault="006E188A" w:rsidP="006E188A">
      <w:pPr>
        <w:suppressAutoHyphens/>
        <w:wordWrap/>
        <w:jc w:val="both"/>
        <w:rPr>
          <w:b/>
          <w:bCs/>
          <w:kern w:val="2"/>
          <w:u w:val="single"/>
          <w:lang w:eastAsia="ja-JP"/>
        </w:rPr>
      </w:pPr>
      <w:r w:rsidRPr="002170CF">
        <w:rPr>
          <w:b/>
          <w:bCs/>
          <w:kern w:val="2"/>
          <w:u w:val="single"/>
          <w:lang w:eastAsia="ja-JP"/>
        </w:rPr>
        <w:t xml:space="preserve">Proposal </w:t>
      </w:r>
      <w:r>
        <w:rPr>
          <w:b/>
          <w:bCs/>
          <w:kern w:val="2"/>
          <w:u w:val="single"/>
          <w:lang w:eastAsia="ja-JP"/>
        </w:rPr>
        <w:t>2</w:t>
      </w:r>
      <w:r w:rsidRPr="002170CF">
        <w:rPr>
          <w:b/>
          <w:bCs/>
          <w:kern w:val="2"/>
          <w:u w:val="single"/>
          <w:lang w:eastAsia="ja-JP"/>
        </w:rPr>
        <w:t>:</w:t>
      </w:r>
      <w:r>
        <w:rPr>
          <w:b/>
          <w:u w:val="single"/>
        </w:rPr>
        <w:t xml:space="preserve"> A UE configured Type-1 HARQ-ACK codebook reports NACK/DTX values for decoding outcomes of TBs associated with HARQ processes with disabled HARQ-ACK reports.</w:t>
      </w:r>
      <w:r w:rsidRPr="002170CF">
        <w:rPr>
          <w:b/>
          <w:u w:val="single"/>
        </w:rPr>
        <w:t xml:space="preserve"> </w:t>
      </w:r>
      <w:r>
        <w:rPr>
          <w:b/>
          <w:u w:val="single"/>
        </w:rPr>
        <w:t xml:space="preserve">The UE does not transmit a PUCCH with a Type-1 codebook when the UE receives only TBs for HARQ processes with disabled HARQ-ACK reports.   </w:t>
      </w:r>
    </w:p>
    <w:p w14:paraId="65F30F8E" w14:textId="77777777" w:rsidR="00B322DC" w:rsidRDefault="00B322DC" w:rsidP="00B322DC">
      <w:pPr>
        <w:suppressAutoHyphens/>
        <w:wordWrap/>
        <w:jc w:val="both"/>
        <w:rPr>
          <w:b/>
        </w:rPr>
      </w:pPr>
    </w:p>
    <w:p w14:paraId="175229AB" w14:textId="77777777" w:rsidR="006E188A" w:rsidRPr="00F1276B" w:rsidRDefault="006E188A" w:rsidP="006E188A">
      <w:pPr>
        <w:suppressAutoHyphens/>
        <w:wordWrap/>
        <w:jc w:val="both"/>
        <w:rPr>
          <w:b/>
          <w:bCs/>
          <w:kern w:val="2"/>
          <w:u w:val="single"/>
          <w:lang w:eastAsia="ja-JP"/>
        </w:rPr>
      </w:pPr>
      <w:r w:rsidRPr="002170CF">
        <w:rPr>
          <w:b/>
          <w:bCs/>
          <w:kern w:val="2"/>
          <w:u w:val="single"/>
          <w:lang w:eastAsia="ja-JP"/>
        </w:rPr>
        <w:t xml:space="preserve">Proposal </w:t>
      </w:r>
      <w:r>
        <w:rPr>
          <w:b/>
          <w:bCs/>
          <w:kern w:val="2"/>
          <w:u w:val="single"/>
          <w:lang w:eastAsia="ja-JP"/>
        </w:rPr>
        <w:t>3</w:t>
      </w:r>
      <w:r w:rsidRPr="002170CF">
        <w:rPr>
          <w:b/>
          <w:bCs/>
          <w:kern w:val="2"/>
          <w:u w:val="single"/>
          <w:lang w:eastAsia="ja-JP"/>
        </w:rPr>
        <w:t>:</w:t>
      </w:r>
      <w:r>
        <w:rPr>
          <w:b/>
          <w:u w:val="single"/>
        </w:rPr>
        <w:t xml:space="preserve"> A UE does not transmit a PUCCH with a Type-1 HARQ-ACK codebook when the UE receives only TBs for HARQ processes with disabled HARQ-ACK reports. Rel-16 applies for the UE behavior when a Type-1 HARQ-ACK codebook is to be multiplexed in a PUSCH. </w:t>
      </w:r>
    </w:p>
    <w:p w14:paraId="3B551C8E" w14:textId="77777777" w:rsidR="00B322DC" w:rsidRDefault="00B322DC" w:rsidP="00B322DC">
      <w:pPr>
        <w:suppressAutoHyphens/>
        <w:wordWrap/>
        <w:jc w:val="both"/>
        <w:rPr>
          <w:b/>
          <w:bCs/>
          <w:kern w:val="2"/>
          <w:u w:val="single"/>
          <w:lang w:eastAsia="ja-JP"/>
        </w:rPr>
      </w:pPr>
    </w:p>
    <w:p w14:paraId="386828E6" w14:textId="77777777" w:rsidR="006E188A" w:rsidRPr="00F1276B" w:rsidRDefault="006E188A" w:rsidP="006E188A">
      <w:pPr>
        <w:suppressAutoHyphens/>
        <w:wordWrap/>
        <w:jc w:val="both"/>
        <w:rPr>
          <w:b/>
          <w:bCs/>
          <w:kern w:val="2"/>
          <w:u w:val="single"/>
          <w:lang w:eastAsia="ja-JP"/>
        </w:rPr>
      </w:pPr>
      <w:r w:rsidRPr="002170CF">
        <w:rPr>
          <w:b/>
          <w:bCs/>
          <w:kern w:val="2"/>
          <w:u w:val="single"/>
          <w:lang w:eastAsia="ja-JP"/>
        </w:rPr>
        <w:t xml:space="preserve">Proposal </w:t>
      </w:r>
      <w:r>
        <w:rPr>
          <w:b/>
          <w:bCs/>
          <w:kern w:val="2"/>
          <w:u w:val="single"/>
          <w:lang w:eastAsia="ja-JP"/>
        </w:rPr>
        <w:t>4</w:t>
      </w:r>
      <w:r w:rsidRPr="002170CF">
        <w:rPr>
          <w:b/>
          <w:bCs/>
          <w:kern w:val="2"/>
          <w:u w:val="single"/>
          <w:lang w:eastAsia="ja-JP"/>
        </w:rPr>
        <w:t>:</w:t>
      </w:r>
      <w:r>
        <w:rPr>
          <w:b/>
          <w:u w:val="single"/>
        </w:rPr>
        <w:t xml:space="preserve"> A Type-3 HARQ-ACK codebook does not include HARQ-ACK reports for HARQ processes with disabled HARQ-ACK reports. </w:t>
      </w:r>
    </w:p>
    <w:p w14:paraId="25B5FA5C" w14:textId="77777777" w:rsidR="00B322DC" w:rsidRPr="0077210F" w:rsidRDefault="00B322DC" w:rsidP="005F6A3D">
      <w:pPr>
        <w:suppressAutoHyphens/>
        <w:wordWrap/>
        <w:ind w:left="902" w:hangingChars="451" w:hanging="902"/>
        <w:jc w:val="both"/>
        <w:rPr>
          <w:b/>
        </w:rPr>
      </w:pPr>
    </w:p>
    <w:p w14:paraId="0900A519" w14:textId="77777777" w:rsidR="006E188A" w:rsidRPr="00D10CE4" w:rsidRDefault="006E188A" w:rsidP="006E188A">
      <w:pPr>
        <w:jc w:val="both"/>
        <w:rPr>
          <w:b/>
          <w:u w:val="single"/>
        </w:rPr>
      </w:pPr>
      <w:r w:rsidRPr="00D10CE4">
        <w:rPr>
          <w:b/>
          <w:u w:val="single"/>
        </w:rPr>
        <w:t xml:space="preserve">Proposal </w:t>
      </w:r>
      <w:r>
        <w:rPr>
          <w:b/>
          <w:u w:val="single"/>
        </w:rPr>
        <w:t>5</w:t>
      </w:r>
      <w:r w:rsidRPr="00D10CE4">
        <w:rPr>
          <w:b/>
          <w:u w:val="single"/>
        </w:rPr>
        <w:t xml:space="preserve">: </w:t>
      </w:r>
      <w:r>
        <w:rPr>
          <w:b/>
          <w:u w:val="single"/>
        </w:rPr>
        <w:t xml:space="preserve">A </w:t>
      </w:r>
      <w:r w:rsidRPr="00D10CE4">
        <w:rPr>
          <w:b/>
          <w:u w:val="single"/>
        </w:rPr>
        <w:t xml:space="preserve">DCI format </w:t>
      </w:r>
      <w:r>
        <w:rPr>
          <w:b/>
          <w:u w:val="single"/>
        </w:rPr>
        <w:t>1_1</w:t>
      </w:r>
      <w:r w:rsidRPr="00D10CE4">
        <w:rPr>
          <w:b/>
          <w:u w:val="single"/>
        </w:rPr>
        <w:t xml:space="preserve"> for a HARQ process with disabled HARQ-ACK does not include the PRI, </w:t>
      </w:r>
      <w:r w:rsidRPr="00D10CE4">
        <w:rPr>
          <w:b/>
          <w:bCs/>
          <w:u w:val="single"/>
        </w:rPr>
        <w:t>PUSCH-to-</w:t>
      </w:r>
      <w:proofErr w:type="spellStart"/>
      <w:r w:rsidRPr="00D10CE4">
        <w:rPr>
          <w:b/>
          <w:bCs/>
          <w:u w:val="single"/>
        </w:rPr>
        <w:t>HARQ_feedback</w:t>
      </w:r>
      <w:proofErr w:type="spellEnd"/>
      <w:r w:rsidRPr="00D10CE4">
        <w:rPr>
          <w:b/>
          <w:bCs/>
          <w:u w:val="single"/>
        </w:rPr>
        <w:t xml:space="preserve"> timing</w:t>
      </w:r>
      <w:r>
        <w:rPr>
          <w:b/>
          <w:bCs/>
          <w:u w:val="single"/>
        </w:rPr>
        <w:t xml:space="preserve"> and</w:t>
      </w:r>
      <w:r w:rsidRPr="00D10CE4">
        <w:rPr>
          <w:b/>
          <w:bCs/>
          <w:u w:val="single"/>
        </w:rPr>
        <w:t xml:space="preserve"> counter DAI</w:t>
      </w:r>
      <w:r>
        <w:rPr>
          <w:b/>
          <w:bCs/>
          <w:u w:val="single"/>
        </w:rPr>
        <w:t xml:space="preserve"> and is size matched to DCI format 0_1</w:t>
      </w:r>
      <w:r w:rsidRPr="00D10CE4">
        <w:rPr>
          <w:b/>
          <w:u w:val="single"/>
        </w:rPr>
        <w:t>.</w:t>
      </w:r>
    </w:p>
    <w:p w14:paraId="373EA0AA" w14:textId="5B043651" w:rsidR="00B322DC" w:rsidRDefault="00B322DC" w:rsidP="005F6A3D">
      <w:pPr>
        <w:suppressAutoHyphens/>
        <w:wordWrap/>
        <w:ind w:left="902" w:hangingChars="451" w:hanging="902"/>
        <w:jc w:val="both"/>
        <w:rPr>
          <w:b/>
        </w:rPr>
      </w:pPr>
    </w:p>
    <w:p w14:paraId="7F73E34A" w14:textId="77777777" w:rsidR="006E188A" w:rsidRPr="008E433B" w:rsidRDefault="006E188A" w:rsidP="006E188A">
      <w:pPr>
        <w:wordWrap/>
        <w:spacing w:after="60"/>
        <w:jc w:val="both"/>
        <w:rPr>
          <w:b/>
          <w:u w:val="single"/>
        </w:rPr>
      </w:pPr>
      <w:r w:rsidRPr="008E433B">
        <w:rPr>
          <w:b/>
          <w:bCs/>
          <w:kern w:val="2"/>
          <w:u w:val="single"/>
          <w:lang w:eastAsia="ja-JP"/>
        </w:rPr>
        <w:t xml:space="preserve">Proposal </w:t>
      </w:r>
      <w:r>
        <w:rPr>
          <w:b/>
          <w:bCs/>
          <w:kern w:val="2"/>
          <w:u w:val="single"/>
          <w:lang w:eastAsia="ja-JP"/>
        </w:rPr>
        <w:t>6</w:t>
      </w:r>
      <w:r w:rsidRPr="008E433B">
        <w:rPr>
          <w:b/>
          <w:bCs/>
          <w:kern w:val="2"/>
          <w:u w:val="single"/>
          <w:lang w:eastAsia="ja-JP"/>
        </w:rPr>
        <w:t xml:space="preserve">: </w:t>
      </w:r>
      <w:r>
        <w:rPr>
          <w:b/>
          <w:u w:val="single"/>
        </w:rPr>
        <w:t>To enable up to 32 HARQ processes without increasing the soft buffer size</w:t>
      </w:r>
      <w:r w:rsidRPr="008E433B">
        <w:rPr>
          <w:b/>
          <w:u w:val="single"/>
        </w:rPr>
        <w:t>, support one of the following</w:t>
      </w:r>
      <w:r>
        <w:rPr>
          <w:b/>
          <w:u w:val="single"/>
        </w:rPr>
        <w:t>:</w:t>
      </w:r>
      <w:r w:rsidRPr="008E433B">
        <w:rPr>
          <w:b/>
          <w:u w:val="single"/>
        </w:rPr>
        <w:t xml:space="preserve"> </w:t>
      </w:r>
    </w:p>
    <w:p w14:paraId="1BE38219" w14:textId="77777777" w:rsidR="006E188A" w:rsidRPr="008E433B" w:rsidRDefault="006E188A" w:rsidP="006E188A">
      <w:pPr>
        <w:pStyle w:val="ListParagraph"/>
        <w:widowControl w:val="0"/>
        <w:numPr>
          <w:ilvl w:val="0"/>
          <w:numId w:val="15"/>
        </w:numPr>
        <w:suppressAutoHyphens/>
        <w:spacing w:after="60"/>
        <w:contextualSpacing w:val="0"/>
        <w:jc w:val="both"/>
        <w:rPr>
          <w:b/>
          <w:u w:val="single"/>
          <w:lang w:val="en-US"/>
        </w:rPr>
      </w:pPr>
      <w:r w:rsidRPr="008E433B">
        <w:rPr>
          <w:b/>
          <w:u w:val="single"/>
          <w:lang w:val="en-US"/>
        </w:rPr>
        <w:lastRenderedPageBreak/>
        <w:t xml:space="preserve">Option 1. </w:t>
      </w:r>
      <w:proofErr w:type="spellStart"/>
      <w:r w:rsidRPr="008E433B">
        <w:rPr>
          <w:b/>
          <w:u w:val="single"/>
          <w:lang w:val="en-US"/>
        </w:rPr>
        <w:t>gNB</w:t>
      </w:r>
      <w:proofErr w:type="spellEnd"/>
      <w:r w:rsidRPr="008E433B">
        <w:rPr>
          <w:b/>
          <w:u w:val="single"/>
          <w:lang w:val="en-US"/>
        </w:rPr>
        <w:t xml:space="preserve"> informs a maximum TBS and UE reports its capability for a number of HARQ processes. </w:t>
      </w:r>
    </w:p>
    <w:p w14:paraId="0202C86F" w14:textId="77777777" w:rsidR="006E188A" w:rsidRPr="008E433B" w:rsidRDefault="006E188A" w:rsidP="006E188A">
      <w:pPr>
        <w:pStyle w:val="ListParagraph"/>
        <w:widowControl w:val="0"/>
        <w:numPr>
          <w:ilvl w:val="0"/>
          <w:numId w:val="15"/>
        </w:numPr>
        <w:suppressAutoHyphens/>
        <w:spacing w:after="0"/>
        <w:contextualSpacing w:val="0"/>
        <w:jc w:val="both"/>
        <w:rPr>
          <w:b/>
          <w:u w:val="single"/>
          <w:lang w:val="en-US"/>
        </w:rPr>
      </w:pPr>
      <w:r w:rsidRPr="008E433B">
        <w:rPr>
          <w:b/>
          <w:u w:val="single"/>
          <w:lang w:val="en-US"/>
        </w:rPr>
        <w:t xml:space="preserve">Option 2. UE reports separate capabilities for a number of predefined pairs of {maximum number of HARQ processes, maximum TBS}. </w:t>
      </w:r>
    </w:p>
    <w:p w14:paraId="4BA4A9E0" w14:textId="33BEA9F3" w:rsidR="00A50CAC" w:rsidRDefault="00A50CAC" w:rsidP="00A50CAC">
      <w:pPr>
        <w:suppressAutoHyphens/>
        <w:wordWrap/>
        <w:ind w:left="902" w:hangingChars="451" w:hanging="902"/>
        <w:jc w:val="both"/>
        <w:rPr>
          <w:b/>
        </w:rPr>
      </w:pPr>
    </w:p>
    <w:p w14:paraId="2B567B7B" w14:textId="77777777" w:rsidR="006E188A" w:rsidRPr="00254B2F" w:rsidRDefault="006E188A" w:rsidP="006E188A">
      <w:pPr>
        <w:wordWrap/>
        <w:jc w:val="both"/>
        <w:rPr>
          <w:b/>
          <w:bCs/>
          <w:kern w:val="2"/>
          <w:u w:val="single"/>
          <w:lang w:eastAsia="ja-JP"/>
        </w:rPr>
      </w:pPr>
      <w:r w:rsidRPr="00254B2F">
        <w:rPr>
          <w:b/>
          <w:bCs/>
          <w:kern w:val="2"/>
          <w:u w:val="single"/>
          <w:lang w:eastAsia="ja-JP"/>
        </w:rPr>
        <w:t xml:space="preserve">Proposal </w:t>
      </w:r>
      <w:r>
        <w:rPr>
          <w:b/>
          <w:bCs/>
          <w:kern w:val="2"/>
          <w:u w:val="single"/>
          <w:lang w:eastAsia="ja-JP"/>
        </w:rPr>
        <w:t>7</w:t>
      </w:r>
      <w:r w:rsidRPr="00254B2F">
        <w:rPr>
          <w:b/>
          <w:bCs/>
          <w:kern w:val="2"/>
          <w:u w:val="single"/>
          <w:lang w:eastAsia="ja-JP"/>
        </w:rPr>
        <w:t xml:space="preserve">: </w:t>
      </w:r>
      <w:r>
        <w:rPr>
          <w:b/>
          <w:u w:val="single"/>
        </w:rPr>
        <w:t>Support</w:t>
      </w:r>
      <w:r w:rsidRPr="00254B2F">
        <w:rPr>
          <w:b/>
          <w:u w:val="single"/>
        </w:rPr>
        <w:t xml:space="preserve"> UE assistance information </w:t>
      </w:r>
      <w:r>
        <w:rPr>
          <w:b/>
          <w:u w:val="single"/>
        </w:rPr>
        <w:t>to indicate full soft buffer or to request HARQ-ACK enabling/disabling for HARQ processes</w:t>
      </w:r>
      <w:r w:rsidRPr="00254B2F">
        <w:rPr>
          <w:b/>
          <w:u w:val="single"/>
        </w:rPr>
        <w:t>.</w:t>
      </w:r>
    </w:p>
    <w:p w14:paraId="4029E458" w14:textId="058447FE" w:rsidR="00A50CAC" w:rsidRDefault="00A50CAC" w:rsidP="0025718D">
      <w:pPr>
        <w:suppressAutoHyphens/>
        <w:wordWrap/>
        <w:jc w:val="both"/>
        <w:rPr>
          <w:b/>
        </w:rPr>
      </w:pPr>
    </w:p>
    <w:p w14:paraId="3ECA89A8" w14:textId="6C376F99" w:rsidR="0025718D" w:rsidRPr="0025718D" w:rsidRDefault="0025718D" w:rsidP="00A50CAC">
      <w:pPr>
        <w:suppressAutoHyphens/>
        <w:wordWrap/>
        <w:ind w:left="902" w:hangingChars="451" w:hanging="902"/>
        <w:jc w:val="both"/>
        <w:rPr>
          <w:bCs/>
        </w:rPr>
      </w:pPr>
      <w:r w:rsidRPr="0025718D">
        <w:rPr>
          <w:bCs/>
        </w:rPr>
        <w:t xml:space="preserve">In addition, the following observations are made. </w:t>
      </w:r>
    </w:p>
    <w:p w14:paraId="25C12DFB" w14:textId="7F0DB126" w:rsidR="0025718D" w:rsidRDefault="0025718D" w:rsidP="00A50CAC">
      <w:pPr>
        <w:suppressAutoHyphens/>
        <w:wordWrap/>
        <w:ind w:left="902" w:hangingChars="451" w:hanging="902"/>
        <w:jc w:val="both"/>
        <w:rPr>
          <w:b/>
        </w:rPr>
      </w:pPr>
    </w:p>
    <w:p w14:paraId="3E7C2602" w14:textId="77777777" w:rsidR="006E188A" w:rsidRPr="00AF414A" w:rsidRDefault="006E188A" w:rsidP="006E188A">
      <w:pPr>
        <w:suppressAutoHyphens/>
        <w:wordWrap/>
        <w:jc w:val="both"/>
        <w:rPr>
          <w:rFonts w:eastAsia="Malgun Gothic"/>
          <w:i/>
          <w:iCs/>
          <w:u w:val="single"/>
        </w:rPr>
      </w:pPr>
      <w:r w:rsidRPr="00B35BCA">
        <w:rPr>
          <w:rFonts w:eastAsia="Malgun Gothic"/>
          <w:b/>
          <w:bCs/>
          <w:i/>
          <w:iCs/>
          <w:u w:val="single"/>
        </w:rPr>
        <w:t xml:space="preserve">Observation </w:t>
      </w:r>
      <w:r>
        <w:rPr>
          <w:rFonts w:eastAsia="Malgun Gothic"/>
          <w:b/>
          <w:bCs/>
          <w:i/>
          <w:iCs/>
          <w:u w:val="single"/>
        </w:rPr>
        <w:t>1</w:t>
      </w:r>
      <w:r w:rsidRPr="00B35BCA">
        <w:rPr>
          <w:rFonts w:eastAsia="Malgun Gothic"/>
          <w:i/>
          <w:iCs/>
          <w:u w:val="single"/>
        </w:rPr>
        <w:t xml:space="preserve">: </w:t>
      </w:r>
      <w:r>
        <w:rPr>
          <w:rFonts w:eastAsia="Malgun Gothic"/>
          <w:i/>
          <w:iCs/>
          <w:u w:val="single"/>
        </w:rPr>
        <w:t>For a DCI format scheduling a TB for a HARQ process with disabled HARQ-ACK, there is no need for any agreement on the UE behavior for fields associated with HARQ-ACK codebook construction or PUCCH (Option-2)</w:t>
      </w:r>
      <w:r w:rsidRPr="00B35BCA">
        <w:rPr>
          <w:rFonts w:eastAsia="Malgun Gothic"/>
          <w:i/>
          <w:iCs/>
        </w:rPr>
        <w:t>.</w:t>
      </w:r>
    </w:p>
    <w:p w14:paraId="4B51FD22" w14:textId="01F5B25A" w:rsidR="0025718D" w:rsidRDefault="0025718D" w:rsidP="00A50CAC">
      <w:pPr>
        <w:suppressAutoHyphens/>
        <w:wordWrap/>
        <w:ind w:left="902" w:hangingChars="451" w:hanging="902"/>
        <w:jc w:val="both"/>
        <w:rPr>
          <w:b/>
        </w:rPr>
      </w:pPr>
    </w:p>
    <w:p w14:paraId="734079EA" w14:textId="77777777" w:rsidR="006E188A" w:rsidRPr="00AF414A" w:rsidRDefault="006E188A" w:rsidP="006E188A">
      <w:pPr>
        <w:suppressAutoHyphens/>
        <w:wordWrap/>
        <w:jc w:val="both"/>
        <w:rPr>
          <w:rFonts w:eastAsia="Malgun Gothic"/>
          <w:i/>
          <w:iCs/>
          <w:u w:val="single"/>
        </w:rPr>
      </w:pPr>
      <w:r w:rsidRPr="00B35BCA">
        <w:rPr>
          <w:rFonts w:eastAsia="Malgun Gothic"/>
          <w:b/>
          <w:bCs/>
          <w:i/>
          <w:iCs/>
          <w:u w:val="single"/>
        </w:rPr>
        <w:t xml:space="preserve">Observation </w:t>
      </w:r>
      <w:r>
        <w:rPr>
          <w:rFonts w:eastAsia="Malgun Gothic"/>
          <w:b/>
          <w:bCs/>
          <w:i/>
          <w:iCs/>
          <w:u w:val="single"/>
        </w:rPr>
        <w:t>2</w:t>
      </w:r>
      <w:r w:rsidRPr="00B35BCA">
        <w:rPr>
          <w:rFonts w:eastAsia="Malgun Gothic"/>
          <w:i/>
          <w:iCs/>
          <w:u w:val="single"/>
        </w:rPr>
        <w:t xml:space="preserve">: </w:t>
      </w:r>
      <w:r>
        <w:rPr>
          <w:rFonts w:eastAsia="Malgun Gothic"/>
          <w:i/>
          <w:iCs/>
          <w:u w:val="single"/>
        </w:rPr>
        <w:t>There is no need to consider any new support for “out of order” scheduling for PDCCH receptions associated with HARQ processes having disabled HARQ-ACK reports</w:t>
      </w:r>
      <w:r w:rsidRPr="00B35BCA">
        <w:rPr>
          <w:rFonts w:eastAsia="Malgun Gothic"/>
          <w:i/>
          <w:iCs/>
        </w:rPr>
        <w:t>.</w:t>
      </w:r>
    </w:p>
    <w:p w14:paraId="4EF32167" w14:textId="0B9203D1" w:rsidR="0025718D" w:rsidRDefault="0025718D" w:rsidP="0025718D">
      <w:pPr>
        <w:suppressAutoHyphens/>
        <w:wordWrap/>
        <w:jc w:val="both"/>
        <w:rPr>
          <w:b/>
        </w:rPr>
      </w:pPr>
    </w:p>
    <w:p w14:paraId="0EBDB1A2" w14:textId="77777777" w:rsidR="00433299" w:rsidRPr="00025085" w:rsidRDefault="00433299" w:rsidP="00433299">
      <w:pPr>
        <w:suppressAutoHyphens/>
        <w:wordWrap/>
        <w:jc w:val="both"/>
        <w:rPr>
          <w:rFonts w:eastAsia="Malgun Gothic"/>
          <w:i/>
          <w:iCs/>
          <w:u w:val="single"/>
        </w:rPr>
      </w:pPr>
      <w:r w:rsidRPr="00B35BCA">
        <w:rPr>
          <w:rFonts w:eastAsia="Malgun Gothic"/>
          <w:b/>
          <w:bCs/>
          <w:i/>
          <w:iCs/>
          <w:u w:val="single"/>
        </w:rPr>
        <w:t xml:space="preserve">Observation </w:t>
      </w:r>
      <w:r>
        <w:rPr>
          <w:rFonts w:eastAsia="Malgun Gothic"/>
          <w:b/>
          <w:bCs/>
          <w:i/>
          <w:iCs/>
          <w:u w:val="single"/>
        </w:rPr>
        <w:t>3</w:t>
      </w:r>
      <w:r w:rsidRPr="00B35BCA">
        <w:rPr>
          <w:rFonts w:eastAsia="Malgun Gothic"/>
          <w:i/>
          <w:iCs/>
          <w:u w:val="single"/>
        </w:rPr>
        <w:t xml:space="preserve">: </w:t>
      </w:r>
      <w:r>
        <w:rPr>
          <w:rFonts w:eastAsia="Malgun Gothic"/>
          <w:i/>
          <w:iCs/>
          <w:u w:val="single"/>
        </w:rPr>
        <w:t xml:space="preserve">No new agreement is needed for HARQ processes with HARQ-ACK reports for SPS PDSCH (Option-2). Same UE behavior applies for HARQ-ACK reports for SPS PDSCH and for DG PDSCH in a HARQ-ACK codebook.  </w:t>
      </w:r>
    </w:p>
    <w:p w14:paraId="0EFCCE4B" w14:textId="77777777" w:rsidR="00025085" w:rsidRDefault="00025085" w:rsidP="006E188A">
      <w:pPr>
        <w:suppressAutoHyphens/>
        <w:wordWrap/>
        <w:jc w:val="both"/>
        <w:rPr>
          <w:rFonts w:eastAsia="Malgun Gothic"/>
          <w:b/>
          <w:bCs/>
          <w:i/>
          <w:iCs/>
          <w:u w:val="single"/>
        </w:rPr>
      </w:pPr>
    </w:p>
    <w:p w14:paraId="501FEE35" w14:textId="71ABAFB7" w:rsidR="006E188A" w:rsidRPr="00AF414A" w:rsidRDefault="006E188A" w:rsidP="006E188A">
      <w:pPr>
        <w:suppressAutoHyphens/>
        <w:wordWrap/>
        <w:jc w:val="both"/>
        <w:rPr>
          <w:rFonts w:eastAsia="Malgun Gothic"/>
          <w:i/>
          <w:iCs/>
          <w:u w:val="single"/>
        </w:rPr>
      </w:pPr>
      <w:r w:rsidRPr="00B35BCA">
        <w:rPr>
          <w:rFonts w:eastAsia="Malgun Gothic"/>
          <w:b/>
          <w:bCs/>
          <w:i/>
          <w:iCs/>
          <w:u w:val="single"/>
        </w:rPr>
        <w:t xml:space="preserve">Observation </w:t>
      </w:r>
      <w:r w:rsidR="00025085">
        <w:rPr>
          <w:rFonts w:eastAsia="Malgun Gothic"/>
          <w:b/>
          <w:bCs/>
          <w:i/>
          <w:iCs/>
          <w:u w:val="single"/>
        </w:rPr>
        <w:t>4</w:t>
      </w:r>
      <w:r w:rsidRPr="00B35BCA">
        <w:rPr>
          <w:rFonts w:eastAsia="Malgun Gothic"/>
          <w:i/>
          <w:iCs/>
          <w:u w:val="single"/>
        </w:rPr>
        <w:t xml:space="preserve">: </w:t>
      </w:r>
      <w:r>
        <w:rPr>
          <w:rFonts w:eastAsia="Malgun Gothic"/>
          <w:i/>
          <w:iCs/>
          <w:u w:val="single"/>
        </w:rPr>
        <w:t>There is no need to support more than 16 HARQ processes by DCI formats 0_0/1_0 (“Option 4”)</w:t>
      </w:r>
      <w:r w:rsidRPr="00B35BCA">
        <w:rPr>
          <w:rFonts w:eastAsia="Malgun Gothic"/>
          <w:i/>
          <w:iCs/>
        </w:rPr>
        <w:t>.</w:t>
      </w:r>
    </w:p>
    <w:p w14:paraId="7BA91B80" w14:textId="74023EEB" w:rsidR="006E188A" w:rsidRDefault="006E188A" w:rsidP="0025718D">
      <w:pPr>
        <w:suppressAutoHyphens/>
        <w:wordWrap/>
        <w:jc w:val="both"/>
        <w:rPr>
          <w:b/>
        </w:rPr>
      </w:pPr>
    </w:p>
    <w:p w14:paraId="44390B0F" w14:textId="12BECED8" w:rsidR="006E188A" w:rsidRPr="001C21A0" w:rsidRDefault="006E188A" w:rsidP="006E188A">
      <w:pPr>
        <w:wordWrap/>
        <w:jc w:val="both"/>
        <w:rPr>
          <w:rFonts w:eastAsia="Malgun Gothic"/>
          <w:i/>
          <w:iCs/>
          <w:u w:val="single"/>
        </w:rPr>
      </w:pPr>
      <w:r w:rsidRPr="001C21A0">
        <w:rPr>
          <w:rFonts w:eastAsia="Malgun Gothic"/>
          <w:b/>
          <w:bCs/>
          <w:i/>
          <w:iCs/>
          <w:u w:val="single"/>
        </w:rPr>
        <w:t xml:space="preserve">Observation </w:t>
      </w:r>
      <w:r w:rsidR="00025085">
        <w:rPr>
          <w:rFonts w:eastAsia="Malgun Gothic"/>
          <w:b/>
          <w:bCs/>
          <w:i/>
          <w:iCs/>
          <w:u w:val="single"/>
        </w:rPr>
        <w:t>5</w:t>
      </w:r>
      <w:r w:rsidRPr="001C21A0">
        <w:rPr>
          <w:rFonts w:eastAsia="Malgun Gothic"/>
          <w:i/>
          <w:iCs/>
          <w:u w:val="single"/>
        </w:rPr>
        <w:t xml:space="preserve">: </w:t>
      </w:r>
      <w:r>
        <w:rPr>
          <w:rFonts w:eastAsia="Malgun Gothic"/>
          <w:i/>
          <w:iCs/>
          <w:u w:val="single"/>
        </w:rPr>
        <w:t>PDSCH is the channel with best coverage and</w:t>
      </w:r>
      <w:r w:rsidRPr="001C21A0">
        <w:rPr>
          <w:rFonts w:eastAsia="Malgun Gothic"/>
          <w:i/>
          <w:iCs/>
          <w:u w:val="single"/>
        </w:rPr>
        <w:t xml:space="preserve"> </w:t>
      </w:r>
      <w:r>
        <w:rPr>
          <w:rFonts w:eastAsia="Malgun Gothic"/>
          <w:i/>
          <w:iCs/>
          <w:u w:val="single"/>
        </w:rPr>
        <w:t xml:space="preserve">it </w:t>
      </w:r>
      <w:r w:rsidRPr="001C21A0">
        <w:rPr>
          <w:rFonts w:eastAsia="Malgun Gothic"/>
          <w:i/>
          <w:iCs/>
          <w:u w:val="single"/>
        </w:rPr>
        <w:t xml:space="preserve">is not meaningful to enhance </w:t>
      </w:r>
      <w:r>
        <w:rPr>
          <w:rFonts w:eastAsia="Malgun Gothic"/>
          <w:i/>
          <w:iCs/>
          <w:u w:val="single"/>
        </w:rPr>
        <w:t xml:space="preserve">PDSCH </w:t>
      </w:r>
      <w:r w:rsidRPr="001C21A0">
        <w:rPr>
          <w:rFonts w:eastAsia="Malgun Gothic"/>
          <w:i/>
          <w:iCs/>
          <w:u w:val="single"/>
        </w:rPr>
        <w:t xml:space="preserve">coverage without enhancing coverage for other channels in NTN. General coverage enhancements for NTN can be part of a Rel-18 SI/WI. </w:t>
      </w:r>
    </w:p>
    <w:p w14:paraId="1534AB25" w14:textId="77777777" w:rsidR="006E188A" w:rsidRDefault="006E188A" w:rsidP="0025718D">
      <w:pPr>
        <w:suppressAutoHyphens/>
        <w:wordWrap/>
        <w:jc w:val="both"/>
        <w:rPr>
          <w:b/>
        </w:rPr>
      </w:pPr>
    </w:p>
    <w:p w14:paraId="4180CEA4" w14:textId="77777777" w:rsidR="0025718D" w:rsidRDefault="0025718D" w:rsidP="000A2DAE">
      <w:pPr>
        <w:suppressAutoHyphens/>
        <w:wordWrap/>
        <w:jc w:val="both"/>
        <w:rPr>
          <w:b/>
        </w:rPr>
      </w:pPr>
    </w:p>
    <w:p w14:paraId="2FEA09A7" w14:textId="3D489925" w:rsidR="0003584E" w:rsidRPr="0003584E" w:rsidRDefault="000776FF" w:rsidP="00A50CAC">
      <w:pPr>
        <w:pStyle w:val="Heading1"/>
        <w:keepNext w:val="0"/>
        <w:keepLines w:val="0"/>
        <w:widowControl w:val="0"/>
        <w:numPr>
          <w:ilvl w:val="0"/>
          <w:numId w:val="0"/>
        </w:numPr>
        <w:suppressAutoHyphens/>
        <w:spacing w:before="0" w:after="0"/>
        <w:rPr>
          <w:rFonts w:eastAsia="Batang"/>
          <w:color w:val="000000"/>
          <w:lang w:val="en-US" w:eastAsia="ko-KR"/>
        </w:rPr>
      </w:pPr>
      <w:r w:rsidRPr="006259B8">
        <w:rPr>
          <w:color w:val="000000"/>
          <w:lang w:val="en-US" w:eastAsia="ko-KR"/>
        </w:rPr>
        <w:t>References</w:t>
      </w:r>
    </w:p>
    <w:p w14:paraId="035D45C2" w14:textId="4C7C3258" w:rsidR="001665FE" w:rsidRDefault="00A50CAC" w:rsidP="0025718D">
      <w:pPr>
        <w:spacing w:after="60"/>
      </w:pPr>
      <w:r w:rsidRPr="002363D9">
        <w:t>[</w:t>
      </w:r>
      <w:r>
        <w:t>1</w:t>
      </w:r>
      <w:r w:rsidRPr="002363D9">
        <w:t xml:space="preserve">] </w:t>
      </w:r>
      <w:r>
        <w:t>Chairman N</w:t>
      </w:r>
      <w:r w:rsidRPr="002363D9">
        <w:t xml:space="preserve">otes </w:t>
      </w:r>
      <w:r>
        <w:t>RAN1</w:t>
      </w:r>
      <w:r w:rsidRPr="002363D9">
        <w:t>#10</w:t>
      </w:r>
      <w:r w:rsidR="00836C42">
        <w:t>6</w:t>
      </w:r>
      <w:r w:rsidRPr="002363D9">
        <w:t>-e</w:t>
      </w:r>
    </w:p>
    <w:p w14:paraId="11469424" w14:textId="3BD59883" w:rsidR="006E188A" w:rsidRDefault="00471222" w:rsidP="0025718D">
      <w:pPr>
        <w:spacing w:after="60"/>
      </w:pPr>
      <w:r w:rsidRPr="00471222">
        <w:t>[2] R1-1901593, “PDCCH enhancements for NR URLLC”, Ericsson</w:t>
      </w:r>
    </w:p>
    <w:p w14:paraId="0C48AC8A" w14:textId="77777777" w:rsidR="006E188A" w:rsidRPr="00471222" w:rsidRDefault="006E188A" w:rsidP="0025718D">
      <w:pPr>
        <w:spacing w:after="60"/>
      </w:pPr>
    </w:p>
    <w:sectPr w:rsidR="006E188A" w:rsidRPr="00471222" w:rsidSect="000973C8">
      <w:footerReference w:type="even" r:id="rId8"/>
      <w:footerReference w:type="default" r:id="rId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B9D8CF" w14:textId="77777777" w:rsidR="003408EC" w:rsidRPr="00C47AD2" w:rsidRDefault="003408EC">
      <w:pPr>
        <w:rPr>
          <w:rFonts w:ascii="Arial" w:hAnsi="Arial"/>
          <w:sz w:val="12"/>
        </w:rPr>
      </w:pPr>
      <w:r>
        <w:separator/>
      </w:r>
    </w:p>
  </w:endnote>
  <w:endnote w:type="continuationSeparator" w:id="0">
    <w:p w14:paraId="2D6A2F9D" w14:textId="77777777" w:rsidR="003408EC" w:rsidRPr="00C47AD2" w:rsidRDefault="003408EC">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Arial"/>
    <w:panose1 w:val="020B0604020202020204"/>
    <w:charset w:val="00"/>
    <w:family w:val="roman"/>
    <w:pitch w:val="variable"/>
    <w:sig w:usb0="00000003" w:usb1="00000000" w:usb2="00000000" w:usb3="00000000" w:csb0="00000001" w:csb1="00000000"/>
  </w:font>
  <w:font w:name="Dotum">
    <w:altName w:val="Malgun Gothic Semilight"/>
    <w:panose1 w:val="020B0600000101010101"/>
    <w:charset w:val="81"/>
    <w:family w:val="swiss"/>
    <w:pitch w:val="variable"/>
    <w:sig w:usb0="B00002AF" w:usb1="69D77CFB" w:usb2="00000030" w:usb3="00000000" w:csb0="0008009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9A41A" w14:textId="77777777" w:rsidR="00E00CFF" w:rsidRDefault="00E00CFF"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F96B08" w14:textId="77777777" w:rsidR="00E00CFF" w:rsidRDefault="00E00CFF"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BF59C" w14:textId="7175DDA0" w:rsidR="00E00CFF" w:rsidRDefault="00E00CFF">
    <w:pPr>
      <w:pStyle w:val="Footer"/>
    </w:pPr>
    <w:r>
      <w:fldChar w:fldCharType="begin"/>
    </w:r>
    <w:r>
      <w:instrText xml:space="preserve"> PAGE   \* MERGEFORMAT </w:instrText>
    </w:r>
    <w:r>
      <w:fldChar w:fldCharType="separate"/>
    </w:r>
    <w:r w:rsidR="007F028D">
      <w:t>6</w:t>
    </w:r>
    <w:r>
      <w:fldChar w:fldCharType="end"/>
    </w:r>
  </w:p>
  <w:p w14:paraId="45CA142C" w14:textId="77777777" w:rsidR="00E00CFF" w:rsidRDefault="00E00CFF"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1FC878" w14:textId="77777777" w:rsidR="003408EC" w:rsidRPr="00C47AD2" w:rsidRDefault="003408EC">
      <w:pPr>
        <w:rPr>
          <w:rFonts w:ascii="Arial" w:hAnsi="Arial"/>
          <w:sz w:val="12"/>
        </w:rPr>
      </w:pPr>
      <w:r>
        <w:separator/>
      </w:r>
    </w:p>
  </w:footnote>
  <w:footnote w:type="continuationSeparator" w:id="0">
    <w:p w14:paraId="1EC40378" w14:textId="77777777" w:rsidR="003408EC" w:rsidRPr="00C47AD2" w:rsidRDefault="003408EC">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7792B60"/>
    <w:multiLevelType w:val="hybridMultilevel"/>
    <w:tmpl w:val="9C9CAEA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18FD4CD6"/>
    <w:multiLevelType w:val="multilevel"/>
    <w:tmpl w:val="805A64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6D15A12"/>
    <w:multiLevelType w:val="hybridMultilevel"/>
    <w:tmpl w:val="6D24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B5517"/>
    <w:multiLevelType w:val="hybridMultilevel"/>
    <w:tmpl w:val="51942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7" w15:restartNumberingAfterBreak="0">
    <w:nsid w:val="34E97F88"/>
    <w:multiLevelType w:val="hybridMultilevel"/>
    <w:tmpl w:val="E7924E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9" w15:restartNumberingAfterBreak="0">
    <w:nsid w:val="3A3E26A9"/>
    <w:multiLevelType w:val="hybridMultilevel"/>
    <w:tmpl w:val="13529D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6A86878"/>
    <w:multiLevelType w:val="hybridMultilevel"/>
    <w:tmpl w:val="1B889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443519C"/>
    <w:multiLevelType w:val="hybridMultilevel"/>
    <w:tmpl w:val="051A2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8"/>
  </w:num>
  <w:num w:numId="4">
    <w:abstractNumId w:val="6"/>
  </w:num>
  <w:num w:numId="5">
    <w:abstractNumId w:val="16"/>
  </w:num>
  <w:num w:numId="6">
    <w:abstractNumId w:val="25"/>
  </w:num>
  <w:num w:numId="7">
    <w:abstractNumId w:val="17"/>
  </w:num>
  <w:num w:numId="8">
    <w:abstractNumId w:val="13"/>
  </w:num>
  <w:num w:numId="9">
    <w:abstractNumId w:val="22"/>
  </w:num>
  <w:num w:numId="10">
    <w:abstractNumId w:val="1"/>
  </w:num>
  <w:num w:numId="11">
    <w:abstractNumId w:val="3"/>
  </w:num>
  <w:num w:numId="12">
    <w:abstractNumId w:val="24"/>
  </w:num>
  <w:num w:numId="13">
    <w:abstractNumId w:val="11"/>
  </w:num>
  <w:num w:numId="14">
    <w:abstractNumId w:val="15"/>
  </w:num>
  <w:num w:numId="15">
    <w:abstractNumId w:val="4"/>
  </w:num>
  <w:num w:numId="16">
    <w:abstractNumId w:val="2"/>
  </w:num>
  <w:num w:numId="17">
    <w:abstractNumId w:val="20"/>
  </w:num>
  <w:num w:numId="18">
    <w:abstractNumId w:val="18"/>
  </w:num>
  <w:num w:numId="19">
    <w:abstractNumId w:val="10"/>
  </w:num>
  <w:num w:numId="20">
    <w:abstractNumId w:val="9"/>
  </w:num>
  <w:num w:numId="21">
    <w:abstractNumId w:val="23"/>
  </w:num>
  <w:num w:numId="22">
    <w:abstractNumId w:val="19"/>
  </w:num>
  <w:num w:numId="23">
    <w:abstractNumId w:val="7"/>
  </w:num>
  <w:num w:numId="24">
    <w:abstractNumId w:val="14"/>
  </w:num>
  <w:num w:numId="25">
    <w:abstractNumId w:val="12"/>
  </w:num>
  <w:num w:numId="26">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09"/>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565C"/>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25"/>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085"/>
    <w:rsid w:val="00025752"/>
    <w:rsid w:val="00025AE3"/>
    <w:rsid w:val="00025C90"/>
    <w:rsid w:val="00025C95"/>
    <w:rsid w:val="00025CB7"/>
    <w:rsid w:val="00025E11"/>
    <w:rsid w:val="000261C8"/>
    <w:rsid w:val="00026A5B"/>
    <w:rsid w:val="00026E2C"/>
    <w:rsid w:val="00027104"/>
    <w:rsid w:val="0002729F"/>
    <w:rsid w:val="00027452"/>
    <w:rsid w:val="0002755F"/>
    <w:rsid w:val="00027594"/>
    <w:rsid w:val="000304A1"/>
    <w:rsid w:val="000304B7"/>
    <w:rsid w:val="00030ACF"/>
    <w:rsid w:val="00030B16"/>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84E"/>
    <w:rsid w:val="00035A6F"/>
    <w:rsid w:val="00035B31"/>
    <w:rsid w:val="00035D65"/>
    <w:rsid w:val="00036512"/>
    <w:rsid w:val="00036C0E"/>
    <w:rsid w:val="00036E7A"/>
    <w:rsid w:val="00036F54"/>
    <w:rsid w:val="000371C2"/>
    <w:rsid w:val="000374B7"/>
    <w:rsid w:val="0003792F"/>
    <w:rsid w:val="00037E83"/>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477A"/>
    <w:rsid w:val="00045379"/>
    <w:rsid w:val="00045597"/>
    <w:rsid w:val="00045967"/>
    <w:rsid w:val="00045DCF"/>
    <w:rsid w:val="00045DD9"/>
    <w:rsid w:val="0004610F"/>
    <w:rsid w:val="000465EE"/>
    <w:rsid w:val="000466C6"/>
    <w:rsid w:val="0004690E"/>
    <w:rsid w:val="00046B15"/>
    <w:rsid w:val="00046C8A"/>
    <w:rsid w:val="00046F10"/>
    <w:rsid w:val="00046F69"/>
    <w:rsid w:val="000470B2"/>
    <w:rsid w:val="00047360"/>
    <w:rsid w:val="00047586"/>
    <w:rsid w:val="00047704"/>
    <w:rsid w:val="0004797F"/>
    <w:rsid w:val="00047D43"/>
    <w:rsid w:val="00047E47"/>
    <w:rsid w:val="00047E6A"/>
    <w:rsid w:val="00050173"/>
    <w:rsid w:val="0005051B"/>
    <w:rsid w:val="00050761"/>
    <w:rsid w:val="00050A22"/>
    <w:rsid w:val="00050AC2"/>
    <w:rsid w:val="000510DE"/>
    <w:rsid w:val="00051645"/>
    <w:rsid w:val="000517D6"/>
    <w:rsid w:val="00051B84"/>
    <w:rsid w:val="00051E53"/>
    <w:rsid w:val="0005237F"/>
    <w:rsid w:val="00052865"/>
    <w:rsid w:val="00053A2D"/>
    <w:rsid w:val="00053AAE"/>
    <w:rsid w:val="00054169"/>
    <w:rsid w:val="00054C48"/>
    <w:rsid w:val="00055014"/>
    <w:rsid w:val="0005524D"/>
    <w:rsid w:val="000552DD"/>
    <w:rsid w:val="00055701"/>
    <w:rsid w:val="000559BD"/>
    <w:rsid w:val="00055B2A"/>
    <w:rsid w:val="00055B7A"/>
    <w:rsid w:val="00056172"/>
    <w:rsid w:val="00056550"/>
    <w:rsid w:val="00056890"/>
    <w:rsid w:val="00056AB9"/>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661"/>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24E"/>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36B"/>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28"/>
    <w:rsid w:val="00090C85"/>
    <w:rsid w:val="00091506"/>
    <w:rsid w:val="00091AF6"/>
    <w:rsid w:val="00091EA8"/>
    <w:rsid w:val="000922E0"/>
    <w:rsid w:val="00092463"/>
    <w:rsid w:val="00092D6D"/>
    <w:rsid w:val="00092DDC"/>
    <w:rsid w:val="000932D9"/>
    <w:rsid w:val="00093302"/>
    <w:rsid w:val="000933FA"/>
    <w:rsid w:val="00093410"/>
    <w:rsid w:val="0009343C"/>
    <w:rsid w:val="00093CF7"/>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4C"/>
    <w:rsid w:val="000A2683"/>
    <w:rsid w:val="000A2733"/>
    <w:rsid w:val="000A2C69"/>
    <w:rsid w:val="000A2DAE"/>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B4"/>
    <w:rsid w:val="000C2A38"/>
    <w:rsid w:val="000C2B98"/>
    <w:rsid w:val="000C2D2F"/>
    <w:rsid w:val="000C335C"/>
    <w:rsid w:val="000C34E3"/>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57C"/>
    <w:rsid w:val="000C5CB6"/>
    <w:rsid w:val="000C63B4"/>
    <w:rsid w:val="000C64B6"/>
    <w:rsid w:val="000C650A"/>
    <w:rsid w:val="000C6568"/>
    <w:rsid w:val="000C6618"/>
    <w:rsid w:val="000C6886"/>
    <w:rsid w:val="000C6BA2"/>
    <w:rsid w:val="000C6CCA"/>
    <w:rsid w:val="000C6DDC"/>
    <w:rsid w:val="000C7251"/>
    <w:rsid w:val="000C777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256"/>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232"/>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C62"/>
    <w:rsid w:val="00124DCA"/>
    <w:rsid w:val="00125073"/>
    <w:rsid w:val="001254E2"/>
    <w:rsid w:val="0012550B"/>
    <w:rsid w:val="00125711"/>
    <w:rsid w:val="00125836"/>
    <w:rsid w:val="00125BC6"/>
    <w:rsid w:val="00125D9A"/>
    <w:rsid w:val="00125E0C"/>
    <w:rsid w:val="00125EA5"/>
    <w:rsid w:val="00126032"/>
    <w:rsid w:val="0012627E"/>
    <w:rsid w:val="0012629F"/>
    <w:rsid w:val="00126E51"/>
    <w:rsid w:val="00126FF4"/>
    <w:rsid w:val="0012712A"/>
    <w:rsid w:val="001274FC"/>
    <w:rsid w:val="001276A9"/>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518"/>
    <w:rsid w:val="00134761"/>
    <w:rsid w:val="001347FE"/>
    <w:rsid w:val="00134A82"/>
    <w:rsid w:val="00134ADA"/>
    <w:rsid w:val="00134BCE"/>
    <w:rsid w:val="00134D8E"/>
    <w:rsid w:val="001351D6"/>
    <w:rsid w:val="00135246"/>
    <w:rsid w:val="00135262"/>
    <w:rsid w:val="001358C5"/>
    <w:rsid w:val="00135BD0"/>
    <w:rsid w:val="00135DD5"/>
    <w:rsid w:val="00136344"/>
    <w:rsid w:val="001369CA"/>
    <w:rsid w:val="00136C8C"/>
    <w:rsid w:val="00136FC3"/>
    <w:rsid w:val="001370D6"/>
    <w:rsid w:val="00137202"/>
    <w:rsid w:val="00137346"/>
    <w:rsid w:val="0013736F"/>
    <w:rsid w:val="00137606"/>
    <w:rsid w:val="001376A9"/>
    <w:rsid w:val="00137A32"/>
    <w:rsid w:val="00137A7F"/>
    <w:rsid w:val="00137F24"/>
    <w:rsid w:val="001400AB"/>
    <w:rsid w:val="00140162"/>
    <w:rsid w:val="00140389"/>
    <w:rsid w:val="00140484"/>
    <w:rsid w:val="001409E8"/>
    <w:rsid w:val="00141500"/>
    <w:rsid w:val="001417A0"/>
    <w:rsid w:val="00141E94"/>
    <w:rsid w:val="00142232"/>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5AD1"/>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57D1D"/>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5FE"/>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D2C"/>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B0B"/>
    <w:rsid w:val="00190ECA"/>
    <w:rsid w:val="00191901"/>
    <w:rsid w:val="001919FA"/>
    <w:rsid w:val="00191A03"/>
    <w:rsid w:val="00191F50"/>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61A"/>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97A67"/>
    <w:rsid w:val="00197D18"/>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6FA"/>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C3B"/>
    <w:rsid w:val="001C0D1A"/>
    <w:rsid w:val="001C0F22"/>
    <w:rsid w:val="001C0F77"/>
    <w:rsid w:val="001C13C4"/>
    <w:rsid w:val="001C1578"/>
    <w:rsid w:val="001C168A"/>
    <w:rsid w:val="001C19D8"/>
    <w:rsid w:val="001C1AD3"/>
    <w:rsid w:val="001C21A0"/>
    <w:rsid w:val="001C24FE"/>
    <w:rsid w:val="001C3270"/>
    <w:rsid w:val="001C3A43"/>
    <w:rsid w:val="001C3B03"/>
    <w:rsid w:val="001C3D08"/>
    <w:rsid w:val="001C4147"/>
    <w:rsid w:val="001C4222"/>
    <w:rsid w:val="001C4272"/>
    <w:rsid w:val="001C4390"/>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78A"/>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1DA"/>
    <w:rsid w:val="001F22C2"/>
    <w:rsid w:val="001F245F"/>
    <w:rsid w:val="001F257B"/>
    <w:rsid w:val="001F2661"/>
    <w:rsid w:val="001F2826"/>
    <w:rsid w:val="001F2A2B"/>
    <w:rsid w:val="001F2C80"/>
    <w:rsid w:val="001F2CD1"/>
    <w:rsid w:val="001F2D01"/>
    <w:rsid w:val="001F2DCC"/>
    <w:rsid w:val="001F3017"/>
    <w:rsid w:val="001F3388"/>
    <w:rsid w:val="001F3680"/>
    <w:rsid w:val="001F3807"/>
    <w:rsid w:val="001F3E8F"/>
    <w:rsid w:val="001F426B"/>
    <w:rsid w:val="001F4498"/>
    <w:rsid w:val="001F4642"/>
    <w:rsid w:val="001F46AD"/>
    <w:rsid w:val="001F4AEC"/>
    <w:rsid w:val="001F4CE5"/>
    <w:rsid w:val="001F502D"/>
    <w:rsid w:val="001F50DA"/>
    <w:rsid w:val="001F525F"/>
    <w:rsid w:val="001F56B9"/>
    <w:rsid w:val="001F58C8"/>
    <w:rsid w:val="001F5952"/>
    <w:rsid w:val="001F59B5"/>
    <w:rsid w:val="001F5DA4"/>
    <w:rsid w:val="001F619B"/>
    <w:rsid w:val="001F65E9"/>
    <w:rsid w:val="001F6C22"/>
    <w:rsid w:val="001F7032"/>
    <w:rsid w:val="001F7613"/>
    <w:rsid w:val="001F76CF"/>
    <w:rsid w:val="001F7A78"/>
    <w:rsid w:val="001F7AEF"/>
    <w:rsid w:val="001F7C24"/>
    <w:rsid w:val="001F7D78"/>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0CF"/>
    <w:rsid w:val="0021736D"/>
    <w:rsid w:val="002178EC"/>
    <w:rsid w:val="00217C81"/>
    <w:rsid w:val="00220547"/>
    <w:rsid w:val="00220767"/>
    <w:rsid w:val="00220996"/>
    <w:rsid w:val="00220BE5"/>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795"/>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4C2"/>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2C"/>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684"/>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5B"/>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4B4"/>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A71"/>
    <w:rsid w:val="00250E34"/>
    <w:rsid w:val="00250EAD"/>
    <w:rsid w:val="00250F61"/>
    <w:rsid w:val="002510BB"/>
    <w:rsid w:val="0025129D"/>
    <w:rsid w:val="0025142F"/>
    <w:rsid w:val="00251815"/>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B2F"/>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18D"/>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1"/>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9CF"/>
    <w:rsid w:val="00285AB2"/>
    <w:rsid w:val="00285BDE"/>
    <w:rsid w:val="0028628C"/>
    <w:rsid w:val="00286436"/>
    <w:rsid w:val="0028698D"/>
    <w:rsid w:val="00286A4A"/>
    <w:rsid w:val="00286C09"/>
    <w:rsid w:val="0028735D"/>
    <w:rsid w:val="0028784E"/>
    <w:rsid w:val="002878DC"/>
    <w:rsid w:val="00287C73"/>
    <w:rsid w:val="00287D53"/>
    <w:rsid w:val="0029019B"/>
    <w:rsid w:val="002904A0"/>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748"/>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36E2"/>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487"/>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093"/>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E6B"/>
    <w:rsid w:val="002F6F6E"/>
    <w:rsid w:val="002F74A9"/>
    <w:rsid w:val="002F74FD"/>
    <w:rsid w:val="002F7590"/>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C2"/>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9D5"/>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2D5"/>
    <w:rsid w:val="003408EC"/>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890"/>
    <w:rsid w:val="00363B85"/>
    <w:rsid w:val="00363E76"/>
    <w:rsid w:val="003649B6"/>
    <w:rsid w:val="00364BA6"/>
    <w:rsid w:val="00364E98"/>
    <w:rsid w:val="00365036"/>
    <w:rsid w:val="00365058"/>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475"/>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692"/>
    <w:rsid w:val="003758CE"/>
    <w:rsid w:val="00375A93"/>
    <w:rsid w:val="00375CE9"/>
    <w:rsid w:val="00376744"/>
    <w:rsid w:val="0037691B"/>
    <w:rsid w:val="003769C3"/>
    <w:rsid w:val="00376C8B"/>
    <w:rsid w:val="00376CAD"/>
    <w:rsid w:val="00376D38"/>
    <w:rsid w:val="00376EA5"/>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1CB4"/>
    <w:rsid w:val="0038210A"/>
    <w:rsid w:val="00382898"/>
    <w:rsid w:val="00382DD3"/>
    <w:rsid w:val="0038367C"/>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58D"/>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5EE1"/>
    <w:rsid w:val="003960BD"/>
    <w:rsid w:val="003960E8"/>
    <w:rsid w:val="00396195"/>
    <w:rsid w:val="00396309"/>
    <w:rsid w:val="00396339"/>
    <w:rsid w:val="00396684"/>
    <w:rsid w:val="00396C13"/>
    <w:rsid w:val="00396D6F"/>
    <w:rsid w:val="00396E7D"/>
    <w:rsid w:val="00396FBA"/>
    <w:rsid w:val="00397384"/>
    <w:rsid w:val="00397476"/>
    <w:rsid w:val="00397721"/>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4CBC"/>
    <w:rsid w:val="003A5119"/>
    <w:rsid w:val="003A5771"/>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1E31"/>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8A5"/>
    <w:rsid w:val="003E7C6D"/>
    <w:rsid w:val="003E7E69"/>
    <w:rsid w:val="003F00A4"/>
    <w:rsid w:val="003F0648"/>
    <w:rsid w:val="003F06E8"/>
    <w:rsid w:val="003F0982"/>
    <w:rsid w:val="003F0C2A"/>
    <w:rsid w:val="003F0D0D"/>
    <w:rsid w:val="003F161A"/>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891"/>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2EFC"/>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A2"/>
    <w:rsid w:val="004173D1"/>
    <w:rsid w:val="00417431"/>
    <w:rsid w:val="00417441"/>
    <w:rsid w:val="00417511"/>
    <w:rsid w:val="00417516"/>
    <w:rsid w:val="00417897"/>
    <w:rsid w:val="00417EB5"/>
    <w:rsid w:val="00417EE3"/>
    <w:rsid w:val="004201DB"/>
    <w:rsid w:val="00420211"/>
    <w:rsid w:val="004202CD"/>
    <w:rsid w:val="0042058F"/>
    <w:rsid w:val="004205E7"/>
    <w:rsid w:val="00420716"/>
    <w:rsid w:val="004208D0"/>
    <w:rsid w:val="00420D48"/>
    <w:rsid w:val="00420EDB"/>
    <w:rsid w:val="00421094"/>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2FAF"/>
    <w:rsid w:val="0042333D"/>
    <w:rsid w:val="004233CA"/>
    <w:rsid w:val="0042362B"/>
    <w:rsid w:val="00423BA1"/>
    <w:rsid w:val="00424642"/>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58A"/>
    <w:rsid w:val="004329EF"/>
    <w:rsid w:val="004329F0"/>
    <w:rsid w:val="00432A72"/>
    <w:rsid w:val="00432E04"/>
    <w:rsid w:val="00433299"/>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BEB"/>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5C3"/>
    <w:rsid w:val="00444D9E"/>
    <w:rsid w:val="00444DA0"/>
    <w:rsid w:val="00444F4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C5B"/>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22"/>
    <w:rsid w:val="00471287"/>
    <w:rsid w:val="0047128F"/>
    <w:rsid w:val="004713D4"/>
    <w:rsid w:val="00471917"/>
    <w:rsid w:val="00471DC0"/>
    <w:rsid w:val="0047224E"/>
    <w:rsid w:val="0047247F"/>
    <w:rsid w:val="004727FE"/>
    <w:rsid w:val="00472806"/>
    <w:rsid w:val="00472AC9"/>
    <w:rsid w:val="00472DF0"/>
    <w:rsid w:val="00472E33"/>
    <w:rsid w:val="00472FD2"/>
    <w:rsid w:val="004733F5"/>
    <w:rsid w:val="004734F9"/>
    <w:rsid w:val="00473777"/>
    <w:rsid w:val="004737CA"/>
    <w:rsid w:val="00473971"/>
    <w:rsid w:val="00473973"/>
    <w:rsid w:val="00473991"/>
    <w:rsid w:val="00473BAE"/>
    <w:rsid w:val="00473CB8"/>
    <w:rsid w:val="004745CD"/>
    <w:rsid w:val="00474689"/>
    <w:rsid w:val="004747FE"/>
    <w:rsid w:val="0047494A"/>
    <w:rsid w:val="00474E74"/>
    <w:rsid w:val="00475060"/>
    <w:rsid w:val="004753AD"/>
    <w:rsid w:val="00475ABE"/>
    <w:rsid w:val="004764DC"/>
    <w:rsid w:val="00476627"/>
    <w:rsid w:val="0047663F"/>
    <w:rsid w:val="0047686E"/>
    <w:rsid w:val="00476AF6"/>
    <w:rsid w:val="00476B93"/>
    <w:rsid w:val="00476E40"/>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2CA4"/>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79B"/>
    <w:rsid w:val="00486A9F"/>
    <w:rsid w:val="004872E2"/>
    <w:rsid w:val="0048778E"/>
    <w:rsid w:val="00487865"/>
    <w:rsid w:val="00487A11"/>
    <w:rsid w:val="00487ABD"/>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A61"/>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051"/>
    <w:rsid w:val="004A21DD"/>
    <w:rsid w:val="004A2287"/>
    <w:rsid w:val="004A2343"/>
    <w:rsid w:val="004A2713"/>
    <w:rsid w:val="004A2D54"/>
    <w:rsid w:val="004A3084"/>
    <w:rsid w:val="004A39CD"/>
    <w:rsid w:val="004A3B36"/>
    <w:rsid w:val="004A4279"/>
    <w:rsid w:val="004A4477"/>
    <w:rsid w:val="004A4ACE"/>
    <w:rsid w:val="004A4EA1"/>
    <w:rsid w:val="004A5137"/>
    <w:rsid w:val="004A540E"/>
    <w:rsid w:val="004A5631"/>
    <w:rsid w:val="004A5E69"/>
    <w:rsid w:val="004A60F0"/>
    <w:rsid w:val="004A6239"/>
    <w:rsid w:val="004A623D"/>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AA1"/>
    <w:rsid w:val="004B6C42"/>
    <w:rsid w:val="004B6D8D"/>
    <w:rsid w:val="004B6DCE"/>
    <w:rsid w:val="004B6DEC"/>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45"/>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8A8"/>
    <w:rsid w:val="004D3B60"/>
    <w:rsid w:val="004D40E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654"/>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CF8"/>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9EE"/>
    <w:rsid w:val="00506E71"/>
    <w:rsid w:val="00507393"/>
    <w:rsid w:val="005075E1"/>
    <w:rsid w:val="0050762F"/>
    <w:rsid w:val="005076BA"/>
    <w:rsid w:val="0051046A"/>
    <w:rsid w:val="005104E8"/>
    <w:rsid w:val="0051054B"/>
    <w:rsid w:val="005105BC"/>
    <w:rsid w:val="00510815"/>
    <w:rsid w:val="00510B29"/>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13"/>
    <w:rsid w:val="00514DBA"/>
    <w:rsid w:val="005152BE"/>
    <w:rsid w:val="0051533D"/>
    <w:rsid w:val="0051558A"/>
    <w:rsid w:val="00515647"/>
    <w:rsid w:val="005157B5"/>
    <w:rsid w:val="00515A54"/>
    <w:rsid w:val="00515FEC"/>
    <w:rsid w:val="0051619D"/>
    <w:rsid w:val="0051690E"/>
    <w:rsid w:val="00516994"/>
    <w:rsid w:val="00516C3A"/>
    <w:rsid w:val="0051721D"/>
    <w:rsid w:val="00517909"/>
    <w:rsid w:val="00517E20"/>
    <w:rsid w:val="0052008F"/>
    <w:rsid w:val="005206E5"/>
    <w:rsid w:val="00520C25"/>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3B95"/>
    <w:rsid w:val="00524196"/>
    <w:rsid w:val="0052444B"/>
    <w:rsid w:val="0052486B"/>
    <w:rsid w:val="005249E0"/>
    <w:rsid w:val="00524C7E"/>
    <w:rsid w:val="00524F3A"/>
    <w:rsid w:val="00525577"/>
    <w:rsid w:val="005255C2"/>
    <w:rsid w:val="005255D7"/>
    <w:rsid w:val="00525675"/>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2F7"/>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146"/>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9E5"/>
    <w:rsid w:val="00554A56"/>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9A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B82"/>
    <w:rsid w:val="00575D2C"/>
    <w:rsid w:val="005764CD"/>
    <w:rsid w:val="0057672B"/>
    <w:rsid w:val="0057673B"/>
    <w:rsid w:val="00576A0D"/>
    <w:rsid w:val="0057710D"/>
    <w:rsid w:val="0057727F"/>
    <w:rsid w:val="0057749E"/>
    <w:rsid w:val="005775E1"/>
    <w:rsid w:val="0057797A"/>
    <w:rsid w:val="005779DA"/>
    <w:rsid w:val="00577CA3"/>
    <w:rsid w:val="00577D21"/>
    <w:rsid w:val="005800EA"/>
    <w:rsid w:val="00580157"/>
    <w:rsid w:val="005802B8"/>
    <w:rsid w:val="005804D7"/>
    <w:rsid w:val="00580676"/>
    <w:rsid w:val="005806DA"/>
    <w:rsid w:val="005807B8"/>
    <w:rsid w:val="005807F3"/>
    <w:rsid w:val="0058149D"/>
    <w:rsid w:val="005814DB"/>
    <w:rsid w:val="00581712"/>
    <w:rsid w:val="00581B40"/>
    <w:rsid w:val="00581D8B"/>
    <w:rsid w:val="005820A1"/>
    <w:rsid w:val="0058219D"/>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939"/>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A2"/>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4F2"/>
    <w:rsid w:val="005957A0"/>
    <w:rsid w:val="005958B5"/>
    <w:rsid w:val="0059591F"/>
    <w:rsid w:val="005962C9"/>
    <w:rsid w:val="0059637C"/>
    <w:rsid w:val="00596AB5"/>
    <w:rsid w:val="00596ABD"/>
    <w:rsid w:val="00596BFD"/>
    <w:rsid w:val="00596CFE"/>
    <w:rsid w:val="00596DA9"/>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A7D3C"/>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9FF"/>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78"/>
    <w:rsid w:val="005B77D8"/>
    <w:rsid w:val="005B79B1"/>
    <w:rsid w:val="005B7D69"/>
    <w:rsid w:val="005C036E"/>
    <w:rsid w:val="005C0522"/>
    <w:rsid w:val="005C05C6"/>
    <w:rsid w:val="005C0654"/>
    <w:rsid w:val="005C0838"/>
    <w:rsid w:val="005C08EB"/>
    <w:rsid w:val="005C0CA1"/>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188"/>
    <w:rsid w:val="005C557C"/>
    <w:rsid w:val="005C5950"/>
    <w:rsid w:val="005C5970"/>
    <w:rsid w:val="005C62BE"/>
    <w:rsid w:val="005C63B9"/>
    <w:rsid w:val="005C6A3A"/>
    <w:rsid w:val="005C6C16"/>
    <w:rsid w:val="005C6EBE"/>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3E0F"/>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062"/>
    <w:rsid w:val="005E557F"/>
    <w:rsid w:val="005E565C"/>
    <w:rsid w:val="005E5830"/>
    <w:rsid w:val="005E5989"/>
    <w:rsid w:val="005E5CC5"/>
    <w:rsid w:val="005E6073"/>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A3D"/>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2BD"/>
    <w:rsid w:val="0060152D"/>
    <w:rsid w:val="00601845"/>
    <w:rsid w:val="00601863"/>
    <w:rsid w:val="006018A5"/>
    <w:rsid w:val="00601912"/>
    <w:rsid w:val="00601E31"/>
    <w:rsid w:val="00601E74"/>
    <w:rsid w:val="006027DC"/>
    <w:rsid w:val="00602EE6"/>
    <w:rsid w:val="00603644"/>
    <w:rsid w:val="006039A0"/>
    <w:rsid w:val="006039E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676"/>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556"/>
    <w:rsid w:val="00614587"/>
    <w:rsid w:val="00614635"/>
    <w:rsid w:val="00614812"/>
    <w:rsid w:val="00614D44"/>
    <w:rsid w:val="00614E8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214"/>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59B8"/>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58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926"/>
    <w:rsid w:val="00635CEE"/>
    <w:rsid w:val="00635E0A"/>
    <w:rsid w:val="006363F7"/>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047C"/>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33"/>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90"/>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74F"/>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B3A"/>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769"/>
    <w:rsid w:val="006A7FE9"/>
    <w:rsid w:val="006B05A4"/>
    <w:rsid w:val="006B063C"/>
    <w:rsid w:val="006B075D"/>
    <w:rsid w:val="006B095D"/>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291"/>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38D7"/>
    <w:rsid w:val="006D46A1"/>
    <w:rsid w:val="006D4907"/>
    <w:rsid w:val="006D4F38"/>
    <w:rsid w:val="006D51AA"/>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88A"/>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C8E"/>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566"/>
    <w:rsid w:val="007117A2"/>
    <w:rsid w:val="0071193A"/>
    <w:rsid w:val="00711DB8"/>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90"/>
    <w:rsid w:val="00732783"/>
    <w:rsid w:val="00732A95"/>
    <w:rsid w:val="00732B19"/>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47AE0"/>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0F"/>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88E"/>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8F"/>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0CE"/>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56"/>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19D"/>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D7F68"/>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28D"/>
    <w:rsid w:val="007F0540"/>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3F2B"/>
    <w:rsid w:val="007F409B"/>
    <w:rsid w:val="007F41A8"/>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8EC"/>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C27"/>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B06"/>
    <w:rsid w:val="00821DB9"/>
    <w:rsid w:val="00821E46"/>
    <w:rsid w:val="00822099"/>
    <w:rsid w:val="0082215A"/>
    <w:rsid w:val="008224BB"/>
    <w:rsid w:val="00822876"/>
    <w:rsid w:val="00822969"/>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17F"/>
    <w:rsid w:val="008313DF"/>
    <w:rsid w:val="00831848"/>
    <w:rsid w:val="00831FBD"/>
    <w:rsid w:val="00832552"/>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6C42"/>
    <w:rsid w:val="00836F17"/>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02"/>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06"/>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2F"/>
    <w:rsid w:val="008646AE"/>
    <w:rsid w:val="008648A1"/>
    <w:rsid w:val="008649F2"/>
    <w:rsid w:val="00864A1D"/>
    <w:rsid w:val="00864BF6"/>
    <w:rsid w:val="00864DF2"/>
    <w:rsid w:val="008658A9"/>
    <w:rsid w:val="0086598B"/>
    <w:rsid w:val="008659D5"/>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480"/>
    <w:rsid w:val="00867F86"/>
    <w:rsid w:val="0087007B"/>
    <w:rsid w:val="0087022B"/>
    <w:rsid w:val="00870335"/>
    <w:rsid w:val="0087037C"/>
    <w:rsid w:val="00870666"/>
    <w:rsid w:val="00870700"/>
    <w:rsid w:val="008708D7"/>
    <w:rsid w:val="008708EE"/>
    <w:rsid w:val="00870905"/>
    <w:rsid w:val="00870970"/>
    <w:rsid w:val="00870A07"/>
    <w:rsid w:val="00871700"/>
    <w:rsid w:val="0087181E"/>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52D"/>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892"/>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13"/>
    <w:rsid w:val="008A1427"/>
    <w:rsid w:val="008A1AB9"/>
    <w:rsid w:val="008A1F59"/>
    <w:rsid w:val="008A30BE"/>
    <w:rsid w:val="008A319C"/>
    <w:rsid w:val="008A3344"/>
    <w:rsid w:val="008A3391"/>
    <w:rsid w:val="008A3402"/>
    <w:rsid w:val="008A3592"/>
    <w:rsid w:val="008A3834"/>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74D"/>
    <w:rsid w:val="008B381E"/>
    <w:rsid w:val="008B38DA"/>
    <w:rsid w:val="008B392E"/>
    <w:rsid w:val="008B3AC8"/>
    <w:rsid w:val="008B3B74"/>
    <w:rsid w:val="008B3EB9"/>
    <w:rsid w:val="008B3EC2"/>
    <w:rsid w:val="008B426F"/>
    <w:rsid w:val="008B43C0"/>
    <w:rsid w:val="008B44F2"/>
    <w:rsid w:val="008B4879"/>
    <w:rsid w:val="008B48BE"/>
    <w:rsid w:val="008B4AC0"/>
    <w:rsid w:val="008B4C1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9D4"/>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01F"/>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D7DD2"/>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33B"/>
    <w:rsid w:val="008E46C4"/>
    <w:rsid w:val="008E4891"/>
    <w:rsid w:val="008E4983"/>
    <w:rsid w:val="008E4AA6"/>
    <w:rsid w:val="008E508B"/>
    <w:rsid w:val="008E5374"/>
    <w:rsid w:val="008E53AF"/>
    <w:rsid w:val="008E56FF"/>
    <w:rsid w:val="008E57AD"/>
    <w:rsid w:val="008E5C1F"/>
    <w:rsid w:val="008E5CA4"/>
    <w:rsid w:val="008E5FEA"/>
    <w:rsid w:val="008E6299"/>
    <w:rsid w:val="008E62DD"/>
    <w:rsid w:val="008E634C"/>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388"/>
    <w:rsid w:val="008F6592"/>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B2F"/>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1D99"/>
    <w:rsid w:val="00912008"/>
    <w:rsid w:val="00912622"/>
    <w:rsid w:val="009127DB"/>
    <w:rsid w:val="00913037"/>
    <w:rsid w:val="009134EC"/>
    <w:rsid w:val="009139F9"/>
    <w:rsid w:val="00913A3C"/>
    <w:rsid w:val="00913D2F"/>
    <w:rsid w:val="009141E5"/>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D2A"/>
    <w:rsid w:val="00916E91"/>
    <w:rsid w:val="00916F65"/>
    <w:rsid w:val="00917389"/>
    <w:rsid w:val="00917606"/>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A6C"/>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3A5"/>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65F"/>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66C"/>
    <w:rsid w:val="00956870"/>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BCB"/>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8BF"/>
    <w:rsid w:val="00971C9D"/>
    <w:rsid w:val="00972196"/>
    <w:rsid w:val="009723EF"/>
    <w:rsid w:val="0097264B"/>
    <w:rsid w:val="009726E2"/>
    <w:rsid w:val="0097285E"/>
    <w:rsid w:val="00972918"/>
    <w:rsid w:val="00972937"/>
    <w:rsid w:val="009729BD"/>
    <w:rsid w:val="009729DB"/>
    <w:rsid w:val="00972A23"/>
    <w:rsid w:val="00972A4B"/>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A4"/>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2B0B"/>
    <w:rsid w:val="009C334C"/>
    <w:rsid w:val="009C3810"/>
    <w:rsid w:val="009C386E"/>
    <w:rsid w:val="009C39F4"/>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5E69"/>
    <w:rsid w:val="009C63CA"/>
    <w:rsid w:val="009C7294"/>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892"/>
    <w:rsid w:val="009D6A30"/>
    <w:rsid w:val="009D6D16"/>
    <w:rsid w:val="009D6E70"/>
    <w:rsid w:val="009D7329"/>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E7BDE"/>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142"/>
    <w:rsid w:val="00A04399"/>
    <w:rsid w:val="00A046A9"/>
    <w:rsid w:val="00A04743"/>
    <w:rsid w:val="00A047DC"/>
    <w:rsid w:val="00A04E68"/>
    <w:rsid w:val="00A04ECD"/>
    <w:rsid w:val="00A04F6C"/>
    <w:rsid w:val="00A055F7"/>
    <w:rsid w:val="00A0571D"/>
    <w:rsid w:val="00A05868"/>
    <w:rsid w:val="00A05A77"/>
    <w:rsid w:val="00A05CB7"/>
    <w:rsid w:val="00A064B3"/>
    <w:rsid w:val="00A06A2F"/>
    <w:rsid w:val="00A06A82"/>
    <w:rsid w:val="00A0771A"/>
    <w:rsid w:val="00A07742"/>
    <w:rsid w:val="00A07A8F"/>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BC2"/>
    <w:rsid w:val="00A27EDA"/>
    <w:rsid w:val="00A27F4B"/>
    <w:rsid w:val="00A300A2"/>
    <w:rsid w:val="00A302B1"/>
    <w:rsid w:val="00A30498"/>
    <w:rsid w:val="00A305C1"/>
    <w:rsid w:val="00A30865"/>
    <w:rsid w:val="00A309E7"/>
    <w:rsid w:val="00A312FC"/>
    <w:rsid w:val="00A3198A"/>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0DB9"/>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9B4"/>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0CAC"/>
    <w:rsid w:val="00A5105D"/>
    <w:rsid w:val="00A514C1"/>
    <w:rsid w:val="00A516AD"/>
    <w:rsid w:val="00A517CB"/>
    <w:rsid w:val="00A5186D"/>
    <w:rsid w:val="00A51B02"/>
    <w:rsid w:val="00A51C67"/>
    <w:rsid w:val="00A521E3"/>
    <w:rsid w:val="00A52A1D"/>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996"/>
    <w:rsid w:val="00A65A05"/>
    <w:rsid w:val="00A65B4D"/>
    <w:rsid w:val="00A66057"/>
    <w:rsid w:val="00A66422"/>
    <w:rsid w:val="00A66685"/>
    <w:rsid w:val="00A66B24"/>
    <w:rsid w:val="00A66BF3"/>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592"/>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25"/>
    <w:rsid w:val="00A91FB9"/>
    <w:rsid w:val="00A923D9"/>
    <w:rsid w:val="00A923F5"/>
    <w:rsid w:val="00A927CD"/>
    <w:rsid w:val="00A92AA4"/>
    <w:rsid w:val="00A92FA5"/>
    <w:rsid w:val="00A931D8"/>
    <w:rsid w:val="00A931F9"/>
    <w:rsid w:val="00A935DE"/>
    <w:rsid w:val="00A938A3"/>
    <w:rsid w:val="00A93A81"/>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6C"/>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BA0"/>
    <w:rsid w:val="00AB0639"/>
    <w:rsid w:val="00AB07BC"/>
    <w:rsid w:val="00AB0F22"/>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8B2"/>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14A"/>
    <w:rsid w:val="00AF423C"/>
    <w:rsid w:val="00AF4318"/>
    <w:rsid w:val="00AF4516"/>
    <w:rsid w:val="00AF48EA"/>
    <w:rsid w:val="00AF48FE"/>
    <w:rsid w:val="00AF4A16"/>
    <w:rsid w:val="00AF4E8E"/>
    <w:rsid w:val="00AF502F"/>
    <w:rsid w:val="00AF52E8"/>
    <w:rsid w:val="00AF5443"/>
    <w:rsid w:val="00AF5C0A"/>
    <w:rsid w:val="00AF5D36"/>
    <w:rsid w:val="00AF6062"/>
    <w:rsid w:val="00AF61F5"/>
    <w:rsid w:val="00AF6863"/>
    <w:rsid w:val="00AF6943"/>
    <w:rsid w:val="00AF6AA3"/>
    <w:rsid w:val="00AF6BDF"/>
    <w:rsid w:val="00AF6CE0"/>
    <w:rsid w:val="00AF6E2A"/>
    <w:rsid w:val="00AF779A"/>
    <w:rsid w:val="00AF7923"/>
    <w:rsid w:val="00AF7D32"/>
    <w:rsid w:val="00AF7DEF"/>
    <w:rsid w:val="00B00123"/>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6D5"/>
    <w:rsid w:val="00B06EA2"/>
    <w:rsid w:val="00B07089"/>
    <w:rsid w:val="00B07241"/>
    <w:rsid w:val="00B073AE"/>
    <w:rsid w:val="00B07466"/>
    <w:rsid w:val="00B07706"/>
    <w:rsid w:val="00B07755"/>
    <w:rsid w:val="00B07A34"/>
    <w:rsid w:val="00B07A90"/>
    <w:rsid w:val="00B07EFF"/>
    <w:rsid w:val="00B10037"/>
    <w:rsid w:val="00B10119"/>
    <w:rsid w:val="00B1050A"/>
    <w:rsid w:val="00B10A09"/>
    <w:rsid w:val="00B10BAB"/>
    <w:rsid w:val="00B10F79"/>
    <w:rsid w:val="00B111C7"/>
    <w:rsid w:val="00B11567"/>
    <w:rsid w:val="00B11608"/>
    <w:rsid w:val="00B11610"/>
    <w:rsid w:val="00B11765"/>
    <w:rsid w:val="00B128E9"/>
    <w:rsid w:val="00B1291B"/>
    <w:rsid w:val="00B129D3"/>
    <w:rsid w:val="00B12B0F"/>
    <w:rsid w:val="00B12B96"/>
    <w:rsid w:val="00B12C31"/>
    <w:rsid w:val="00B12CEE"/>
    <w:rsid w:val="00B13032"/>
    <w:rsid w:val="00B13279"/>
    <w:rsid w:val="00B133D8"/>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1620"/>
    <w:rsid w:val="00B226F0"/>
    <w:rsid w:val="00B227E5"/>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BE7"/>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27EC7"/>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2DC"/>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BCA"/>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4EC"/>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95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2408"/>
    <w:rsid w:val="00B9253B"/>
    <w:rsid w:val="00B926FB"/>
    <w:rsid w:val="00B92783"/>
    <w:rsid w:val="00B927BD"/>
    <w:rsid w:val="00B9289E"/>
    <w:rsid w:val="00B92C06"/>
    <w:rsid w:val="00B92FAA"/>
    <w:rsid w:val="00B93700"/>
    <w:rsid w:val="00B93A6B"/>
    <w:rsid w:val="00B93C86"/>
    <w:rsid w:val="00B93D7C"/>
    <w:rsid w:val="00B94983"/>
    <w:rsid w:val="00B95049"/>
    <w:rsid w:val="00B951C0"/>
    <w:rsid w:val="00B9525B"/>
    <w:rsid w:val="00B953A8"/>
    <w:rsid w:val="00B95FB0"/>
    <w:rsid w:val="00B95FD5"/>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B2D"/>
    <w:rsid w:val="00BB0ED4"/>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17"/>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0970"/>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4EDE"/>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1DFF"/>
    <w:rsid w:val="00BF1F8A"/>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0E2"/>
    <w:rsid w:val="00C031B6"/>
    <w:rsid w:val="00C034BA"/>
    <w:rsid w:val="00C035BB"/>
    <w:rsid w:val="00C039F9"/>
    <w:rsid w:val="00C03BCA"/>
    <w:rsid w:val="00C042D2"/>
    <w:rsid w:val="00C049FB"/>
    <w:rsid w:val="00C04A36"/>
    <w:rsid w:val="00C04A62"/>
    <w:rsid w:val="00C04C69"/>
    <w:rsid w:val="00C04D75"/>
    <w:rsid w:val="00C04FE0"/>
    <w:rsid w:val="00C052C3"/>
    <w:rsid w:val="00C05506"/>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C04"/>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668"/>
    <w:rsid w:val="00C16746"/>
    <w:rsid w:val="00C16A91"/>
    <w:rsid w:val="00C16B19"/>
    <w:rsid w:val="00C16FFC"/>
    <w:rsid w:val="00C170BF"/>
    <w:rsid w:val="00C171E3"/>
    <w:rsid w:val="00C17372"/>
    <w:rsid w:val="00C1739B"/>
    <w:rsid w:val="00C174E1"/>
    <w:rsid w:val="00C1775C"/>
    <w:rsid w:val="00C179D6"/>
    <w:rsid w:val="00C17CE8"/>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2B4"/>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4EC"/>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0E"/>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4B3"/>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A3B"/>
    <w:rsid w:val="00C50CF8"/>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0EFC"/>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962"/>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2AC4"/>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94A"/>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07"/>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A3E"/>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36C"/>
    <w:rsid w:val="00D0255E"/>
    <w:rsid w:val="00D02588"/>
    <w:rsid w:val="00D02CD9"/>
    <w:rsid w:val="00D02E18"/>
    <w:rsid w:val="00D02F93"/>
    <w:rsid w:val="00D0349E"/>
    <w:rsid w:val="00D035C3"/>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208"/>
    <w:rsid w:val="00D313CD"/>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76C"/>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CE"/>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5FD"/>
    <w:rsid w:val="00D76E4F"/>
    <w:rsid w:val="00D76EB9"/>
    <w:rsid w:val="00D77462"/>
    <w:rsid w:val="00D7792A"/>
    <w:rsid w:val="00D77C60"/>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895"/>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1E5"/>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501"/>
    <w:rsid w:val="00D9792C"/>
    <w:rsid w:val="00D97DA3"/>
    <w:rsid w:val="00DA0109"/>
    <w:rsid w:val="00DA028B"/>
    <w:rsid w:val="00DA02A8"/>
    <w:rsid w:val="00DA05B4"/>
    <w:rsid w:val="00DA09D7"/>
    <w:rsid w:val="00DA0E86"/>
    <w:rsid w:val="00DA1413"/>
    <w:rsid w:val="00DA1559"/>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40"/>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573"/>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189"/>
    <w:rsid w:val="00DD5364"/>
    <w:rsid w:val="00DD547E"/>
    <w:rsid w:val="00DD55BD"/>
    <w:rsid w:val="00DD5B13"/>
    <w:rsid w:val="00DD5BCD"/>
    <w:rsid w:val="00DD629E"/>
    <w:rsid w:val="00DD65AA"/>
    <w:rsid w:val="00DD675D"/>
    <w:rsid w:val="00DD6CD7"/>
    <w:rsid w:val="00DD6F9B"/>
    <w:rsid w:val="00DD736A"/>
    <w:rsid w:val="00DD7E65"/>
    <w:rsid w:val="00DD7EF6"/>
    <w:rsid w:val="00DE0114"/>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971"/>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BBB"/>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CFF"/>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4F4B"/>
    <w:rsid w:val="00E05030"/>
    <w:rsid w:val="00E050F2"/>
    <w:rsid w:val="00E05513"/>
    <w:rsid w:val="00E057EF"/>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7D5"/>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3FA"/>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B0A"/>
    <w:rsid w:val="00E26E4A"/>
    <w:rsid w:val="00E26E5E"/>
    <w:rsid w:val="00E26F66"/>
    <w:rsid w:val="00E27038"/>
    <w:rsid w:val="00E270C6"/>
    <w:rsid w:val="00E27604"/>
    <w:rsid w:val="00E2767C"/>
    <w:rsid w:val="00E27A8D"/>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09A"/>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3D7"/>
    <w:rsid w:val="00E5570B"/>
    <w:rsid w:val="00E55981"/>
    <w:rsid w:val="00E559FE"/>
    <w:rsid w:val="00E55B34"/>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6E6"/>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DF5"/>
    <w:rsid w:val="00EA2E18"/>
    <w:rsid w:val="00EA2FC9"/>
    <w:rsid w:val="00EA2FF3"/>
    <w:rsid w:val="00EA338C"/>
    <w:rsid w:val="00EA33AF"/>
    <w:rsid w:val="00EA394F"/>
    <w:rsid w:val="00EA3E8A"/>
    <w:rsid w:val="00EA42BD"/>
    <w:rsid w:val="00EA457B"/>
    <w:rsid w:val="00EA4590"/>
    <w:rsid w:val="00EA477E"/>
    <w:rsid w:val="00EA4878"/>
    <w:rsid w:val="00EA4A14"/>
    <w:rsid w:val="00EA4B90"/>
    <w:rsid w:val="00EA4BD3"/>
    <w:rsid w:val="00EA4CBB"/>
    <w:rsid w:val="00EA4D07"/>
    <w:rsid w:val="00EA4F12"/>
    <w:rsid w:val="00EA4FD5"/>
    <w:rsid w:val="00EA51D1"/>
    <w:rsid w:val="00EA5212"/>
    <w:rsid w:val="00EA540B"/>
    <w:rsid w:val="00EA558B"/>
    <w:rsid w:val="00EA5657"/>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BDB"/>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5E33"/>
    <w:rsid w:val="00EB6698"/>
    <w:rsid w:val="00EB6AB5"/>
    <w:rsid w:val="00EB6D57"/>
    <w:rsid w:val="00EB6DA8"/>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7CD"/>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88"/>
    <w:rsid w:val="00ED0CEE"/>
    <w:rsid w:val="00ED0E09"/>
    <w:rsid w:val="00ED0E6C"/>
    <w:rsid w:val="00ED0FB8"/>
    <w:rsid w:val="00ED2089"/>
    <w:rsid w:val="00ED212D"/>
    <w:rsid w:val="00ED2153"/>
    <w:rsid w:val="00ED233A"/>
    <w:rsid w:val="00ED24F7"/>
    <w:rsid w:val="00ED26BE"/>
    <w:rsid w:val="00ED27CB"/>
    <w:rsid w:val="00ED2DF1"/>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6B"/>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5692"/>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9C1"/>
    <w:rsid w:val="00F269F0"/>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C45"/>
    <w:rsid w:val="00F31FED"/>
    <w:rsid w:val="00F322A9"/>
    <w:rsid w:val="00F327F0"/>
    <w:rsid w:val="00F3280D"/>
    <w:rsid w:val="00F32B5C"/>
    <w:rsid w:val="00F32E74"/>
    <w:rsid w:val="00F33075"/>
    <w:rsid w:val="00F3378D"/>
    <w:rsid w:val="00F338DF"/>
    <w:rsid w:val="00F33916"/>
    <w:rsid w:val="00F33A5A"/>
    <w:rsid w:val="00F33CC4"/>
    <w:rsid w:val="00F33CEC"/>
    <w:rsid w:val="00F33D74"/>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D5F"/>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B1A"/>
    <w:rsid w:val="00F55ED0"/>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0B"/>
    <w:rsid w:val="00F703D6"/>
    <w:rsid w:val="00F70544"/>
    <w:rsid w:val="00F7055F"/>
    <w:rsid w:val="00F70622"/>
    <w:rsid w:val="00F7065D"/>
    <w:rsid w:val="00F70837"/>
    <w:rsid w:val="00F7087C"/>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7D7"/>
    <w:rsid w:val="00F74966"/>
    <w:rsid w:val="00F74DD6"/>
    <w:rsid w:val="00F74F1C"/>
    <w:rsid w:val="00F74F46"/>
    <w:rsid w:val="00F7564C"/>
    <w:rsid w:val="00F7591C"/>
    <w:rsid w:val="00F75AF3"/>
    <w:rsid w:val="00F75D72"/>
    <w:rsid w:val="00F75DA7"/>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55A"/>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21B"/>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A74"/>
    <w:rsid w:val="00FA6BC3"/>
    <w:rsid w:val="00FA6CD9"/>
    <w:rsid w:val="00FA6E80"/>
    <w:rsid w:val="00FA76DA"/>
    <w:rsid w:val="00FB11A5"/>
    <w:rsid w:val="00FB12B9"/>
    <w:rsid w:val="00FB15E3"/>
    <w:rsid w:val="00FB1E06"/>
    <w:rsid w:val="00FB1E88"/>
    <w:rsid w:val="00FB226F"/>
    <w:rsid w:val="00FB2375"/>
    <w:rsid w:val="00FB2415"/>
    <w:rsid w:val="00FB2D43"/>
    <w:rsid w:val="00FB3A60"/>
    <w:rsid w:val="00FB3AE9"/>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BE5"/>
    <w:rsid w:val="00FC4C80"/>
    <w:rsid w:val="00FC52BD"/>
    <w:rsid w:val="00FC52E3"/>
    <w:rsid w:val="00FC53ED"/>
    <w:rsid w:val="00FC5695"/>
    <w:rsid w:val="00FC5751"/>
    <w:rsid w:val="00FC5B93"/>
    <w:rsid w:val="00FC5CAA"/>
    <w:rsid w:val="00FC617D"/>
    <w:rsid w:val="00FC6277"/>
    <w:rsid w:val="00FC6425"/>
    <w:rsid w:val="00FC64F5"/>
    <w:rsid w:val="00FC69ED"/>
    <w:rsid w:val="00FC6C44"/>
    <w:rsid w:val="00FC6F93"/>
    <w:rsid w:val="00FC7014"/>
    <w:rsid w:val="00FC72A3"/>
    <w:rsid w:val="00FC7441"/>
    <w:rsid w:val="00FC78F6"/>
    <w:rsid w:val="00FC7948"/>
    <w:rsid w:val="00FC7FF5"/>
    <w:rsid w:val="00FD0205"/>
    <w:rsid w:val="00FD0321"/>
    <w:rsid w:val="00FD0FC9"/>
    <w:rsid w:val="00FD1195"/>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BE2"/>
    <w:rsid w:val="00FE5CD4"/>
    <w:rsid w:val="00FE5F05"/>
    <w:rsid w:val="00FE6102"/>
    <w:rsid w:val="00FE649B"/>
    <w:rsid w:val="00FE67EE"/>
    <w:rsid w:val="00FE680C"/>
    <w:rsid w:val="00FE69C5"/>
    <w:rsid w:val="00FE6E5B"/>
    <w:rsid w:val="00FE7221"/>
    <w:rsid w:val="00FE736D"/>
    <w:rsid w:val="00FF04FA"/>
    <w:rsid w:val="00FF06FF"/>
    <w:rsid w:val="00FF0BF3"/>
    <w:rsid w:val="00FF0D71"/>
    <w:rsid w:val="00FF11DD"/>
    <w:rsid w:val="00FF127F"/>
    <w:rsid w:val="00FF1704"/>
    <w:rsid w:val="00FF17A4"/>
    <w:rsid w:val="00FF1AAC"/>
    <w:rsid w:val="00FF1DBB"/>
    <w:rsid w:val="00FF1DDF"/>
    <w:rsid w:val="00FF26EF"/>
    <w:rsid w:val="00FF2DC8"/>
    <w:rsid w:val="00FF34BA"/>
    <w:rsid w:val="00FF34FD"/>
    <w:rsid w:val="00FF37C9"/>
    <w:rsid w:val="00FF39D8"/>
    <w:rsid w:val="00FF3E23"/>
    <w:rsid w:val="00FF3EA8"/>
    <w:rsid w:val="00FF3EFE"/>
    <w:rsid w:val="00FF4731"/>
    <w:rsid w:val="00FF478A"/>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058D"/>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qFormat/>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qFormat/>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qFormat/>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中等深浅网格 1 - 着色 21 Char,列出段落1 Char,列表段落 Char,¥¡¡¡¡ì¬º¥¹¥È¶ÎÂä Char,ÁÐ³ö¶ÎÂä Char,¥ê¥¹¥È¶ÎÂä Char,列表段落1 Char,—ño’i—Ž Char,1st level - Bullet List Paragraph Char"/>
    <w:link w:val="ListParagraph"/>
    <w:uiPriority w:val="34"/>
    <w:qFormat/>
    <w:locked/>
    <w:rsid w:val="00E331B9"/>
    <w:rPr>
      <w:lang w:eastAsia="en-US"/>
    </w:rPr>
  </w:style>
  <w:style w:type="paragraph" w:styleId="ListParagraph">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목록 단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3"/>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 w:type="paragraph" w:customStyle="1" w:styleId="SpecTextNum">
    <w:name w:val="Spec Text Num"/>
    <w:basedOn w:val="Normal"/>
    <w:rsid w:val="001D678A"/>
    <w:pPr>
      <w:widowControl/>
      <w:numPr>
        <w:numId w:val="14"/>
      </w:numPr>
      <w:wordWrap/>
      <w:autoSpaceDE/>
      <w:autoSpaceDN/>
    </w:pPr>
    <w:rPr>
      <w:sz w:val="24"/>
      <w:szCs w:val="24"/>
      <w:lang w:eastAsia="ja-JP"/>
    </w:rPr>
  </w:style>
  <w:style w:type="numbering" w:customStyle="1" w:styleId="StyleBulletedSymbolsymbolLeft025Hanging0252">
    <w:name w:val="Style Bulleted Symbol (symbol) Left:  0.25&quot; Hanging:  0.25&quot;2"/>
    <w:basedOn w:val="NoList"/>
    <w:rsid w:val="009723EF"/>
    <w:pPr>
      <w:numPr>
        <w:numId w:val="17"/>
      </w:numPr>
    </w:pPr>
  </w:style>
  <w:style w:type="character" w:styleId="PlaceholderText">
    <w:name w:val="Placeholder Text"/>
    <w:basedOn w:val="DefaultParagraphFont"/>
    <w:uiPriority w:val="99"/>
    <w:semiHidden/>
    <w:rsid w:val="004C7E4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124667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2378803">
      <w:bodyDiv w:val="1"/>
      <w:marLeft w:val="0"/>
      <w:marRight w:val="0"/>
      <w:marTop w:val="0"/>
      <w:marBottom w:val="0"/>
      <w:divBdr>
        <w:top w:val="none" w:sz="0" w:space="0" w:color="auto"/>
        <w:left w:val="none" w:sz="0" w:space="0" w:color="auto"/>
        <w:bottom w:val="none" w:sz="0" w:space="0" w:color="auto"/>
        <w:right w:val="none" w:sz="0" w:space="0" w:color="auto"/>
      </w:divBdr>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1F0ED7-C562-40FA-9DC3-7156EDB10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1534</TotalTime>
  <Pages>6</Pages>
  <Words>3106</Words>
  <Characters>17705</Characters>
  <Application>Microsoft Office Word</Application>
  <DocSecurity>0</DocSecurity>
  <Lines>147</Lines>
  <Paragraphs>41</Paragraphs>
  <ScaleCrop>false</ScaleCrop>
  <HeadingPairs>
    <vt:vector size="6" baseType="variant">
      <vt:variant>
        <vt:lpstr>Title</vt:lpstr>
      </vt:variant>
      <vt:variant>
        <vt:i4>1</vt:i4>
      </vt:variant>
      <vt:variant>
        <vt:lpstr>제목</vt:lpstr>
      </vt:variant>
      <vt:variant>
        <vt:i4>1</vt:i4>
      </vt:variant>
      <vt:variant>
        <vt:lpstr>머리글</vt:lpstr>
      </vt:variant>
      <vt:variant>
        <vt:i4>8</vt:i4>
      </vt:variant>
    </vt:vector>
  </HeadingPairs>
  <TitlesOfParts>
    <vt:vector size="10" baseType="lpstr">
      <vt:lpstr>3GPP TSG RAN WG1 #70</vt:lpstr>
      <vt:lpstr>3GPP TSG RAN WG1 #70</vt:lpstr>
      <vt:lpstr>Introduction</vt:lpstr>
      <vt:lpstr>Enhancements on HARQ-ACK feedback disabling</vt:lpstr>
      <vt:lpstr>    Enhancements on HARQ-ACK codebook</vt:lpstr>
      <vt:lpstr>    Enhancements on transmission</vt:lpstr>
      <vt:lpstr>Enhancements on number of HARQ processes</vt:lpstr>
      <vt:lpstr>Other enhancements</vt:lpstr>
      <vt:lpstr>Conclusions </vt:lpstr>
      <vt:lpstr>References</vt:lpstr>
    </vt:vector>
  </TitlesOfParts>
  <Company>Samsung</Company>
  <LinksUpToDate>false</LinksUpToDate>
  <CharactersWithSpaces>20770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Aris Papasakellariou 1</cp:lastModifiedBy>
  <cp:revision>92</cp:revision>
  <cp:lastPrinted>2010-04-04T18:18:00Z</cp:lastPrinted>
  <dcterms:created xsi:type="dcterms:W3CDTF">2021-05-09T03:23:00Z</dcterms:created>
  <dcterms:modified xsi:type="dcterms:W3CDTF">2021-10-01T01:31:00Z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